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1C" w:rsidRPr="00964F1C" w:rsidRDefault="00964F1C" w:rsidP="00DA02E8">
      <w:pPr>
        <w:pStyle w:val="Heading1"/>
        <w:jc w:val="left"/>
      </w:pPr>
      <w:r w:rsidRPr="00964F1C">
        <w:t xml:space="preserve">Survey of ants on </w:t>
      </w:r>
      <w:proofErr w:type="spellStart"/>
      <w:r w:rsidRPr="00964F1C">
        <w:t>Kiritmati</w:t>
      </w:r>
      <w:proofErr w:type="spellEnd"/>
      <w:r w:rsidRPr="00964F1C">
        <w:t xml:space="preserve"> Island, Kiribati in February – March 2013</w:t>
      </w:r>
    </w:p>
    <w:p w:rsidR="00964F1C" w:rsidRDefault="00964F1C" w:rsidP="00964F1C">
      <w:pPr>
        <w:pStyle w:val="Heading2"/>
      </w:pPr>
      <w:r>
        <w:t>Purpose of the ant survey of Kiritimati</w:t>
      </w:r>
    </w:p>
    <w:p w:rsidR="00964F1C" w:rsidRDefault="00964F1C" w:rsidP="00964F1C">
      <w:r>
        <w:t xml:space="preserve">The purpose of the ant survey was to provide a baseline inventory of ants at key risk areas, and to identify any risk species present on Kiritimati. An earlier, brief survey in 2008 by Ray Pierce detected six species, including the African Big-headed ant </w:t>
      </w:r>
      <w:r w:rsidRPr="00C92F47">
        <w:rPr>
          <w:i/>
        </w:rPr>
        <w:t>Pheidole megacephala</w:t>
      </w:r>
      <w:r>
        <w:t xml:space="preserve">, one of the highest profile invasive ant species (Appendix 1). </w:t>
      </w:r>
    </w:p>
    <w:p w:rsidR="00964F1C" w:rsidRDefault="00964F1C" w:rsidP="00964F1C">
      <w:r>
        <w:t>Much of the ant survey work was combined with training activities as part of an Island Biosecurity training course held concurrently in Kiritimati as this provided an excellent opportunity for enhancing capability in a meaningful way. The exercise turned into a real life test of the skills learned during the course, when we discovered a yellow crazy ant infestation on Kiritimati. The course participants needed to assess the severity of the incursion and determine a course of action.</w:t>
      </w:r>
    </w:p>
    <w:p w:rsidR="00964F1C" w:rsidRDefault="00964F1C" w:rsidP="00964F1C">
      <w:pPr>
        <w:pStyle w:val="Heading2"/>
      </w:pPr>
      <w:r>
        <w:t>Methods</w:t>
      </w:r>
    </w:p>
    <w:p w:rsidR="00964F1C" w:rsidRDefault="00964F1C" w:rsidP="00964F1C">
      <w:r>
        <w:t>The survey consisted of pitfall trapping in seven key sites (Table 1). At each site two plots were selected, approximately 50 – 100 metres apart. Three pitfall traps (specimen jars) were installed in each plot, 1/3 filled with propylene glycol and left for 24 hours. Luring (using sugar syrup baits) and visual inspection was undertaken at some of these sites and at additional sites where pitfall trapping was not undertaken (Table 1). All ants collected were identified top species level where possible using the Pacific Invasive Ants key (</w:t>
      </w:r>
      <w:proofErr w:type="spellStart"/>
      <w:r>
        <w:t>Sarnat</w:t>
      </w:r>
      <w:proofErr w:type="spellEnd"/>
      <w:r>
        <w:t xml:space="preserve"> 2008). Where it was not possible to identify ants to species level, they were identified to genus level using Bolton (1994).</w:t>
      </w:r>
    </w:p>
    <w:p w:rsidR="00964F1C" w:rsidRDefault="00964F1C" w:rsidP="00964F1C">
      <w:pPr>
        <w:pStyle w:val="Heading2"/>
      </w:pPr>
      <w:r>
        <w:t>Table 1: List of survey locations and sampling methods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536"/>
        <w:gridCol w:w="1559"/>
        <w:gridCol w:w="1276"/>
        <w:gridCol w:w="1054"/>
      </w:tblGrid>
      <w:tr w:rsidR="00964F1C" w:rsidRPr="00964F1C" w:rsidTr="00964F1C">
        <w:tc>
          <w:tcPr>
            <w:tcW w:w="817" w:type="dxa"/>
            <w:tcBorders>
              <w:top w:val="single" w:sz="4" w:space="0" w:color="auto"/>
              <w:bottom w:val="single" w:sz="4" w:space="0" w:color="auto"/>
            </w:tcBorders>
          </w:tcPr>
          <w:p w:rsidR="00964F1C" w:rsidRPr="00964F1C" w:rsidRDefault="00964F1C" w:rsidP="00007483">
            <w:pPr>
              <w:spacing w:before="100" w:beforeAutospacing="1" w:after="100" w:afterAutospacing="1"/>
            </w:pPr>
            <w:r w:rsidRPr="00964F1C">
              <w:t>Site</w:t>
            </w:r>
          </w:p>
        </w:tc>
        <w:tc>
          <w:tcPr>
            <w:tcW w:w="4536" w:type="dxa"/>
            <w:tcBorders>
              <w:top w:val="single" w:sz="4" w:space="0" w:color="auto"/>
              <w:bottom w:val="single" w:sz="4" w:space="0" w:color="auto"/>
            </w:tcBorders>
          </w:tcPr>
          <w:p w:rsidR="00964F1C" w:rsidRPr="00964F1C" w:rsidRDefault="00964F1C" w:rsidP="00007483">
            <w:pPr>
              <w:spacing w:before="100" w:beforeAutospacing="1" w:after="100" w:afterAutospacing="1"/>
            </w:pPr>
          </w:p>
        </w:tc>
        <w:tc>
          <w:tcPr>
            <w:tcW w:w="1559" w:type="dxa"/>
            <w:tcBorders>
              <w:top w:val="single" w:sz="4" w:space="0" w:color="auto"/>
              <w:bottom w:val="single" w:sz="4" w:space="0" w:color="auto"/>
            </w:tcBorders>
          </w:tcPr>
          <w:p w:rsidR="00964F1C" w:rsidRPr="00964F1C" w:rsidRDefault="00964F1C" w:rsidP="00007483">
            <w:pPr>
              <w:spacing w:before="100" w:beforeAutospacing="1" w:after="100" w:afterAutospacing="1"/>
            </w:pPr>
            <w:r w:rsidRPr="00964F1C">
              <w:t>Visual inspection</w:t>
            </w:r>
          </w:p>
        </w:tc>
        <w:tc>
          <w:tcPr>
            <w:tcW w:w="1276" w:type="dxa"/>
            <w:tcBorders>
              <w:top w:val="single" w:sz="4" w:space="0" w:color="auto"/>
              <w:bottom w:val="single" w:sz="4" w:space="0" w:color="auto"/>
            </w:tcBorders>
          </w:tcPr>
          <w:p w:rsidR="00964F1C" w:rsidRPr="00964F1C" w:rsidRDefault="00964F1C" w:rsidP="00007483">
            <w:pPr>
              <w:spacing w:before="100" w:beforeAutospacing="1" w:after="100" w:afterAutospacing="1"/>
            </w:pPr>
            <w:r w:rsidRPr="00964F1C">
              <w:t>Pitfall trapping</w:t>
            </w:r>
          </w:p>
        </w:tc>
        <w:tc>
          <w:tcPr>
            <w:tcW w:w="1054" w:type="dxa"/>
            <w:tcBorders>
              <w:top w:val="single" w:sz="4" w:space="0" w:color="auto"/>
              <w:bottom w:val="single" w:sz="4" w:space="0" w:color="auto"/>
            </w:tcBorders>
          </w:tcPr>
          <w:p w:rsidR="00964F1C" w:rsidRPr="00964F1C" w:rsidRDefault="00964F1C" w:rsidP="00007483">
            <w:pPr>
              <w:spacing w:before="100" w:beforeAutospacing="1" w:after="100" w:afterAutospacing="1"/>
            </w:pPr>
            <w:r w:rsidRPr="00964F1C">
              <w:t>Luring (sugar)</w:t>
            </w:r>
          </w:p>
        </w:tc>
      </w:tr>
      <w:tr w:rsidR="00964F1C" w:rsidRPr="00964F1C" w:rsidTr="00964F1C">
        <w:tc>
          <w:tcPr>
            <w:tcW w:w="817" w:type="dxa"/>
            <w:tcBorders>
              <w:top w:val="single" w:sz="4" w:space="0" w:color="auto"/>
            </w:tcBorders>
          </w:tcPr>
          <w:p w:rsidR="00964F1C" w:rsidRPr="00964F1C" w:rsidRDefault="00964F1C" w:rsidP="00007483">
            <w:pPr>
              <w:spacing w:before="100" w:beforeAutospacing="1" w:after="100" w:afterAutospacing="1"/>
            </w:pPr>
            <w:r w:rsidRPr="00964F1C">
              <w:t>1.</w:t>
            </w:r>
          </w:p>
        </w:tc>
        <w:tc>
          <w:tcPr>
            <w:tcW w:w="4536" w:type="dxa"/>
            <w:tcBorders>
              <w:top w:val="single" w:sz="4" w:space="0" w:color="auto"/>
            </w:tcBorders>
          </w:tcPr>
          <w:p w:rsidR="00964F1C" w:rsidRPr="00964F1C" w:rsidRDefault="00964F1C" w:rsidP="00007483">
            <w:pPr>
              <w:spacing w:before="100" w:beforeAutospacing="1" w:after="100" w:afterAutospacing="1"/>
            </w:pPr>
            <w:r w:rsidRPr="00964F1C">
              <w:t>Cassidy airport</w:t>
            </w:r>
          </w:p>
        </w:tc>
        <w:tc>
          <w:tcPr>
            <w:tcW w:w="1559" w:type="dxa"/>
            <w:tcBorders>
              <w:top w:val="single" w:sz="4" w:space="0" w:color="auto"/>
            </w:tcBorders>
          </w:tcPr>
          <w:p w:rsidR="00964F1C" w:rsidRPr="00964F1C" w:rsidRDefault="00964F1C" w:rsidP="00007483">
            <w:pPr>
              <w:spacing w:before="100" w:beforeAutospacing="1" w:after="100" w:afterAutospacing="1"/>
              <w:jc w:val="center"/>
            </w:pPr>
            <w:r w:rsidRPr="00964F1C">
              <w:t>X</w:t>
            </w:r>
          </w:p>
        </w:tc>
        <w:tc>
          <w:tcPr>
            <w:tcW w:w="1276" w:type="dxa"/>
            <w:tcBorders>
              <w:top w:val="single" w:sz="4" w:space="0" w:color="auto"/>
            </w:tcBorders>
          </w:tcPr>
          <w:p w:rsidR="00964F1C" w:rsidRPr="00964F1C" w:rsidRDefault="00964F1C" w:rsidP="00007483">
            <w:pPr>
              <w:spacing w:before="100" w:beforeAutospacing="1" w:after="100" w:afterAutospacing="1"/>
              <w:jc w:val="center"/>
            </w:pPr>
            <w:r w:rsidRPr="00964F1C">
              <w:t>X</w:t>
            </w:r>
          </w:p>
        </w:tc>
        <w:tc>
          <w:tcPr>
            <w:tcW w:w="1054" w:type="dxa"/>
            <w:tcBorders>
              <w:top w:val="single" w:sz="4" w:space="0" w:color="auto"/>
            </w:tcBorders>
          </w:tcPr>
          <w:p w:rsidR="00964F1C" w:rsidRPr="00964F1C" w:rsidRDefault="00964F1C" w:rsidP="00007483">
            <w:pPr>
              <w:spacing w:before="100" w:beforeAutospacing="1" w:after="100" w:afterAutospacing="1"/>
              <w:jc w:val="center"/>
            </w:pPr>
          </w:p>
        </w:tc>
      </w:tr>
      <w:tr w:rsidR="00964F1C" w:rsidRPr="00964F1C" w:rsidTr="00964F1C">
        <w:tc>
          <w:tcPr>
            <w:tcW w:w="817" w:type="dxa"/>
          </w:tcPr>
          <w:p w:rsidR="00964F1C" w:rsidRPr="00964F1C" w:rsidRDefault="00964F1C" w:rsidP="00007483">
            <w:pPr>
              <w:spacing w:before="100" w:beforeAutospacing="1" w:after="100" w:afterAutospacing="1"/>
            </w:pPr>
            <w:r w:rsidRPr="00964F1C">
              <w:t>2.</w:t>
            </w:r>
          </w:p>
        </w:tc>
        <w:tc>
          <w:tcPr>
            <w:tcW w:w="4536" w:type="dxa"/>
          </w:tcPr>
          <w:p w:rsidR="00964F1C" w:rsidRPr="00964F1C" w:rsidRDefault="00964F1C" w:rsidP="00007483">
            <w:pPr>
              <w:spacing w:before="100" w:beforeAutospacing="1" w:after="100" w:afterAutospacing="1"/>
            </w:pPr>
            <w:r w:rsidRPr="00964F1C">
              <w:t>JMB store</w:t>
            </w:r>
          </w:p>
        </w:tc>
        <w:tc>
          <w:tcPr>
            <w:tcW w:w="1559" w:type="dxa"/>
          </w:tcPr>
          <w:p w:rsidR="00964F1C" w:rsidRPr="00964F1C" w:rsidRDefault="00964F1C" w:rsidP="00007483">
            <w:pPr>
              <w:spacing w:before="100" w:beforeAutospacing="1" w:after="100" w:afterAutospacing="1"/>
              <w:jc w:val="center"/>
            </w:pPr>
            <w:r w:rsidRPr="00964F1C">
              <w:t>X (inside)</w:t>
            </w:r>
          </w:p>
        </w:tc>
        <w:tc>
          <w:tcPr>
            <w:tcW w:w="1276" w:type="dxa"/>
          </w:tcPr>
          <w:p w:rsidR="00964F1C" w:rsidRPr="00964F1C" w:rsidRDefault="00964F1C" w:rsidP="00007483">
            <w:pPr>
              <w:spacing w:before="100" w:beforeAutospacing="1" w:after="100" w:afterAutospacing="1"/>
              <w:jc w:val="center"/>
            </w:pPr>
            <w:r w:rsidRPr="00964F1C">
              <w:t>X</w:t>
            </w:r>
          </w:p>
        </w:tc>
        <w:tc>
          <w:tcPr>
            <w:tcW w:w="1054" w:type="dxa"/>
          </w:tcPr>
          <w:p w:rsidR="00964F1C" w:rsidRPr="00964F1C" w:rsidRDefault="00964F1C" w:rsidP="00007483">
            <w:pPr>
              <w:spacing w:before="100" w:beforeAutospacing="1" w:after="100" w:afterAutospacing="1"/>
              <w:jc w:val="center"/>
            </w:pPr>
          </w:p>
        </w:tc>
      </w:tr>
      <w:tr w:rsidR="00964F1C" w:rsidRPr="00964F1C" w:rsidTr="00964F1C">
        <w:tc>
          <w:tcPr>
            <w:tcW w:w="817" w:type="dxa"/>
          </w:tcPr>
          <w:p w:rsidR="00964F1C" w:rsidRPr="00964F1C" w:rsidRDefault="00964F1C" w:rsidP="00007483">
            <w:pPr>
              <w:spacing w:before="100" w:beforeAutospacing="1" w:after="100" w:afterAutospacing="1"/>
            </w:pPr>
            <w:r w:rsidRPr="00964F1C">
              <w:t>3.</w:t>
            </w:r>
          </w:p>
        </w:tc>
        <w:tc>
          <w:tcPr>
            <w:tcW w:w="4536" w:type="dxa"/>
          </w:tcPr>
          <w:p w:rsidR="00964F1C" w:rsidRPr="00964F1C" w:rsidRDefault="00964F1C" w:rsidP="00007483">
            <w:pPr>
              <w:spacing w:before="100" w:beforeAutospacing="1" w:after="100" w:afterAutospacing="1"/>
            </w:pPr>
            <w:r w:rsidRPr="00964F1C">
              <w:t>Captain Cook Hotel  (CCH)</w:t>
            </w:r>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r w:rsidRPr="00964F1C">
              <w:t>X</w:t>
            </w:r>
          </w:p>
        </w:tc>
        <w:tc>
          <w:tcPr>
            <w:tcW w:w="1054" w:type="dxa"/>
          </w:tcPr>
          <w:p w:rsidR="00964F1C" w:rsidRPr="00964F1C" w:rsidRDefault="00964F1C" w:rsidP="00007483">
            <w:pPr>
              <w:spacing w:before="100" w:beforeAutospacing="1" w:after="100" w:afterAutospacing="1"/>
              <w:jc w:val="center"/>
            </w:pPr>
          </w:p>
        </w:tc>
      </w:tr>
      <w:tr w:rsidR="00964F1C" w:rsidRPr="00964F1C" w:rsidTr="00964F1C">
        <w:tc>
          <w:tcPr>
            <w:tcW w:w="817" w:type="dxa"/>
          </w:tcPr>
          <w:p w:rsidR="00964F1C" w:rsidRPr="00964F1C" w:rsidRDefault="00964F1C" w:rsidP="00007483">
            <w:pPr>
              <w:spacing w:before="100" w:beforeAutospacing="1" w:after="100" w:afterAutospacing="1"/>
            </w:pPr>
            <w:r w:rsidRPr="00964F1C">
              <w:t>4.</w:t>
            </w:r>
          </w:p>
        </w:tc>
        <w:tc>
          <w:tcPr>
            <w:tcW w:w="4536" w:type="dxa"/>
          </w:tcPr>
          <w:p w:rsidR="00964F1C" w:rsidRPr="00964F1C" w:rsidRDefault="00964F1C" w:rsidP="00007483">
            <w:pPr>
              <w:spacing w:before="100" w:beforeAutospacing="1" w:after="100" w:afterAutospacing="1"/>
            </w:pPr>
            <w:r w:rsidRPr="00964F1C">
              <w:t>Agriculture food security facility</w:t>
            </w:r>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r w:rsidRPr="00964F1C">
              <w:t>X</w:t>
            </w:r>
          </w:p>
        </w:tc>
        <w:tc>
          <w:tcPr>
            <w:tcW w:w="1054" w:type="dxa"/>
          </w:tcPr>
          <w:p w:rsidR="00964F1C" w:rsidRPr="00964F1C" w:rsidRDefault="00964F1C" w:rsidP="00007483">
            <w:pPr>
              <w:spacing w:before="100" w:beforeAutospacing="1" w:after="100" w:afterAutospacing="1"/>
              <w:jc w:val="center"/>
            </w:pPr>
          </w:p>
        </w:tc>
      </w:tr>
      <w:tr w:rsidR="00964F1C" w:rsidRPr="00964F1C" w:rsidTr="00964F1C">
        <w:tc>
          <w:tcPr>
            <w:tcW w:w="817" w:type="dxa"/>
          </w:tcPr>
          <w:p w:rsidR="00964F1C" w:rsidRPr="00964F1C" w:rsidRDefault="00964F1C" w:rsidP="00007483">
            <w:pPr>
              <w:spacing w:before="100" w:beforeAutospacing="1" w:after="100" w:afterAutospacing="1"/>
            </w:pPr>
            <w:r w:rsidRPr="00964F1C">
              <w:t>5.</w:t>
            </w:r>
          </w:p>
        </w:tc>
        <w:tc>
          <w:tcPr>
            <w:tcW w:w="4536" w:type="dxa"/>
          </w:tcPr>
          <w:p w:rsidR="00964F1C" w:rsidRPr="00964F1C" w:rsidRDefault="00964F1C" w:rsidP="00007483">
            <w:pPr>
              <w:spacing w:before="100" w:beforeAutospacing="1" w:after="100" w:afterAutospacing="1"/>
            </w:pPr>
            <w:r w:rsidRPr="00964F1C">
              <w:t>KPA port</w:t>
            </w:r>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r w:rsidRPr="00964F1C">
              <w:t>X</w:t>
            </w:r>
          </w:p>
        </w:tc>
        <w:tc>
          <w:tcPr>
            <w:tcW w:w="1054" w:type="dxa"/>
          </w:tcPr>
          <w:p w:rsidR="00964F1C" w:rsidRPr="00964F1C" w:rsidRDefault="00964F1C" w:rsidP="00007483">
            <w:pPr>
              <w:spacing w:before="100" w:beforeAutospacing="1" w:after="100" w:afterAutospacing="1"/>
              <w:jc w:val="center"/>
            </w:pPr>
            <w:r w:rsidRPr="00964F1C">
              <w:t>X</w:t>
            </w:r>
          </w:p>
        </w:tc>
      </w:tr>
      <w:tr w:rsidR="00964F1C" w:rsidRPr="00964F1C" w:rsidTr="00964F1C">
        <w:tc>
          <w:tcPr>
            <w:tcW w:w="817" w:type="dxa"/>
          </w:tcPr>
          <w:p w:rsidR="00964F1C" w:rsidRPr="00964F1C" w:rsidRDefault="00964F1C" w:rsidP="00007483">
            <w:pPr>
              <w:spacing w:before="100" w:beforeAutospacing="1" w:after="100" w:afterAutospacing="1"/>
            </w:pPr>
            <w:r w:rsidRPr="00964F1C">
              <w:t>6.</w:t>
            </w:r>
          </w:p>
        </w:tc>
        <w:tc>
          <w:tcPr>
            <w:tcW w:w="4536" w:type="dxa"/>
          </w:tcPr>
          <w:p w:rsidR="00964F1C" w:rsidRPr="00964F1C" w:rsidRDefault="00964F1C" w:rsidP="00007483">
            <w:pPr>
              <w:spacing w:before="100" w:beforeAutospacing="1" w:after="100" w:afterAutospacing="1"/>
            </w:pPr>
            <w:r w:rsidRPr="00964F1C">
              <w:t>Town dump</w:t>
            </w:r>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p>
        </w:tc>
        <w:tc>
          <w:tcPr>
            <w:tcW w:w="1054" w:type="dxa"/>
          </w:tcPr>
          <w:p w:rsidR="00964F1C" w:rsidRPr="00964F1C" w:rsidRDefault="00964F1C" w:rsidP="00007483">
            <w:pPr>
              <w:spacing w:before="100" w:beforeAutospacing="1" w:after="100" w:afterAutospacing="1"/>
              <w:jc w:val="center"/>
            </w:pPr>
            <w:r w:rsidRPr="00964F1C">
              <w:t>X</w:t>
            </w:r>
          </w:p>
        </w:tc>
      </w:tr>
      <w:tr w:rsidR="00964F1C" w:rsidRPr="00964F1C" w:rsidTr="00964F1C">
        <w:tc>
          <w:tcPr>
            <w:tcW w:w="817" w:type="dxa"/>
          </w:tcPr>
          <w:p w:rsidR="00964F1C" w:rsidRPr="00964F1C" w:rsidRDefault="00964F1C" w:rsidP="00007483">
            <w:pPr>
              <w:spacing w:before="100" w:beforeAutospacing="1" w:after="100" w:afterAutospacing="1"/>
            </w:pPr>
            <w:r w:rsidRPr="00964F1C">
              <w:t>7.</w:t>
            </w:r>
          </w:p>
        </w:tc>
        <w:tc>
          <w:tcPr>
            <w:tcW w:w="4536" w:type="dxa"/>
          </w:tcPr>
          <w:p w:rsidR="00964F1C" w:rsidRPr="00964F1C" w:rsidRDefault="00964F1C" w:rsidP="00007483">
            <w:pPr>
              <w:spacing w:before="100" w:beforeAutospacing="1" w:after="100" w:afterAutospacing="1"/>
            </w:pPr>
            <w:r w:rsidRPr="00964F1C">
              <w:t>Londo</w:t>
            </w:r>
            <w:r w:rsidR="00007483">
              <w:t>n town (around wharf</w:t>
            </w:r>
            <w:r w:rsidRPr="00964F1C">
              <w:t>)</w:t>
            </w:r>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p>
        </w:tc>
        <w:tc>
          <w:tcPr>
            <w:tcW w:w="1054" w:type="dxa"/>
          </w:tcPr>
          <w:p w:rsidR="00964F1C" w:rsidRPr="00964F1C" w:rsidRDefault="00964F1C" w:rsidP="00007483">
            <w:pPr>
              <w:spacing w:before="100" w:beforeAutospacing="1" w:after="100" w:afterAutospacing="1"/>
              <w:jc w:val="center"/>
            </w:pPr>
            <w:r w:rsidRPr="00964F1C">
              <w:t>X</w:t>
            </w:r>
          </w:p>
        </w:tc>
      </w:tr>
      <w:tr w:rsidR="00964F1C" w:rsidRPr="00964F1C" w:rsidTr="00964F1C">
        <w:tc>
          <w:tcPr>
            <w:tcW w:w="817" w:type="dxa"/>
          </w:tcPr>
          <w:p w:rsidR="00964F1C" w:rsidRPr="00964F1C" w:rsidRDefault="00964F1C" w:rsidP="00007483">
            <w:pPr>
              <w:spacing w:before="100" w:beforeAutospacing="1" w:after="100" w:afterAutospacing="1"/>
            </w:pPr>
            <w:r w:rsidRPr="00964F1C">
              <w:t>8.</w:t>
            </w:r>
          </w:p>
        </w:tc>
        <w:tc>
          <w:tcPr>
            <w:tcW w:w="4536" w:type="dxa"/>
          </w:tcPr>
          <w:p w:rsidR="00964F1C" w:rsidRPr="00964F1C" w:rsidRDefault="00964F1C" w:rsidP="00007483">
            <w:pPr>
              <w:spacing w:before="100" w:beforeAutospacing="1" w:after="100" w:afterAutospacing="1"/>
            </w:pPr>
            <w:r w:rsidRPr="00964F1C">
              <w:t>MLPID offices</w:t>
            </w:r>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p>
        </w:tc>
        <w:tc>
          <w:tcPr>
            <w:tcW w:w="1054" w:type="dxa"/>
          </w:tcPr>
          <w:p w:rsidR="00964F1C" w:rsidRPr="00964F1C" w:rsidRDefault="00964F1C" w:rsidP="00007483">
            <w:pPr>
              <w:spacing w:before="100" w:beforeAutospacing="1" w:after="100" w:afterAutospacing="1"/>
              <w:jc w:val="center"/>
            </w:pPr>
          </w:p>
        </w:tc>
      </w:tr>
      <w:tr w:rsidR="00964F1C" w:rsidRPr="00964F1C" w:rsidTr="00964F1C">
        <w:tc>
          <w:tcPr>
            <w:tcW w:w="817" w:type="dxa"/>
          </w:tcPr>
          <w:p w:rsidR="00964F1C" w:rsidRPr="00964F1C" w:rsidRDefault="00964F1C" w:rsidP="00007483">
            <w:pPr>
              <w:spacing w:before="100" w:beforeAutospacing="1" w:after="100" w:afterAutospacing="1"/>
            </w:pPr>
            <w:r w:rsidRPr="00964F1C">
              <w:t>9.</w:t>
            </w:r>
          </w:p>
        </w:tc>
        <w:tc>
          <w:tcPr>
            <w:tcW w:w="4536" w:type="dxa"/>
          </w:tcPr>
          <w:p w:rsidR="00964F1C" w:rsidRPr="00964F1C" w:rsidRDefault="00964F1C" w:rsidP="00007483">
            <w:pPr>
              <w:spacing w:before="100" w:beforeAutospacing="1" w:after="100" w:afterAutospacing="1"/>
            </w:pPr>
            <w:r w:rsidRPr="00964F1C">
              <w:t>Dump close to CCH</w:t>
            </w:r>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r w:rsidRPr="00964F1C">
              <w:t>X</w:t>
            </w:r>
          </w:p>
        </w:tc>
        <w:tc>
          <w:tcPr>
            <w:tcW w:w="1054" w:type="dxa"/>
          </w:tcPr>
          <w:p w:rsidR="00964F1C" w:rsidRPr="00964F1C" w:rsidRDefault="00964F1C" w:rsidP="00007483">
            <w:pPr>
              <w:spacing w:before="100" w:beforeAutospacing="1" w:after="100" w:afterAutospacing="1"/>
              <w:jc w:val="center"/>
            </w:pPr>
          </w:p>
        </w:tc>
      </w:tr>
      <w:tr w:rsidR="00964F1C" w:rsidRPr="00964F1C" w:rsidTr="00964F1C">
        <w:tc>
          <w:tcPr>
            <w:tcW w:w="817" w:type="dxa"/>
          </w:tcPr>
          <w:p w:rsidR="00964F1C" w:rsidRPr="00964F1C" w:rsidRDefault="00964F1C" w:rsidP="00007483">
            <w:pPr>
              <w:spacing w:before="100" w:beforeAutospacing="1" w:after="100" w:afterAutospacing="1"/>
            </w:pPr>
            <w:r w:rsidRPr="00964F1C">
              <w:t>10.</w:t>
            </w:r>
          </w:p>
        </w:tc>
        <w:tc>
          <w:tcPr>
            <w:tcW w:w="4536" w:type="dxa"/>
          </w:tcPr>
          <w:p w:rsidR="00964F1C" w:rsidRPr="00964F1C" w:rsidRDefault="00964F1C" w:rsidP="00007483">
            <w:pPr>
              <w:spacing w:before="100" w:beforeAutospacing="1" w:after="100" w:afterAutospacing="1"/>
            </w:pPr>
            <w:proofErr w:type="spellStart"/>
            <w:r w:rsidRPr="00964F1C">
              <w:t>Motu</w:t>
            </w:r>
            <w:proofErr w:type="spellEnd"/>
            <w:r w:rsidRPr="00964F1C">
              <w:t xml:space="preserve"> </w:t>
            </w:r>
            <w:proofErr w:type="spellStart"/>
            <w:r w:rsidRPr="00964F1C">
              <w:t>Tabu</w:t>
            </w:r>
            <w:proofErr w:type="spellEnd"/>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p>
        </w:tc>
        <w:tc>
          <w:tcPr>
            <w:tcW w:w="1054" w:type="dxa"/>
          </w:tcPr>
          <w:p w:rsidR="00964F1C" w:rsidRPr="00964F1C" w:rsidRDefault="00964F1C" w:rsidP="00007483">
            <w:pPr>
              <w:spacing w:before="100" w:beforeAutospacing="1" w:after="100" w:afterAutospacing="1"/>
              <w:jc w:val="center"/>
            </w:pPr>
            <w:r w:rsidRPr="00964F1C">
              <w:t>X</w:t>
            </w:r>
          </w:p>
        </w:tc>
      </w:tr>
      <w:tr w:rsidR="00964F1C" w:rsidRPr="00964F1C" w:rsidTr="00964F1C">
        <w:tc>
          <w:tcPr>
            <w:tcW w:w="817" w:type="dxa"/>
          </w:tcPr>
          <w:p w:rsidR="00964F1C" w:rsidRPr="00964F1C" w:rsidRDefault="00964F1C" w:rsidP="00007483">
            <w:pPr>
              <w:spacing w:before="100" w:beforeAutospacing="1" w:after="100" w:afterAutospacing="1"/>
            </w:pPr>
            <w:r w:rsidRPr="00964F1C">
              <w:t>11.</w:t>
            </w:r>
          </w:p>
        </w:tc>
        <w:tc>
          <w:tcPr>
            <w:tcW w:w="4536" w:type="dxa"/>
          </w:tcPr>
          <w:p w:rsidR="00964F1C" w:rsidRPr="00964F1C" w:rsidRDefault="00964F1C" w:rsidP="00007483">
            <w:pPr>
              <w:spacing w:before="100" w:beforeAutospacing="1" w:after="100" w:afterAutospacing="1"/>
            </w:pPr>
            <w:r w:rsidRPr="00964F1C">
              <w:t xml:space="preserve">South west </w:t>
            </w:r>
            <w:proofErr w:type="spellStart"/>
            <w:r w:rsidRPr="00964F1C">
              <w:t>Nimroona</w:t>
            </w:r>
            <w:proofErr w:type="spellEnd"/>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p>
        </w:tc>
        <w:tc>
          <w:tcPr>
            <w:tcW w:w="1054" w:type="dxa"/>
          </w:tcPr>
          <w:p w:rsidR="00964F1C" w:rsidRPr="00964F1C" w:rsidRDefault="00964F1C" w:rsidP="00007483">
            <w:pPr>
              <w:spacing w:before="100" w:beforeAutospacing="1" w:after="100" w:afterAutospacing="1"/>
              <w:jc w:val="center"/>
            </w:pPr>
            <w:r w:rsidRPr="00964F1C">
              <w:t>X</w:t>
            </w:r>
          </w:p>
        </w:tc>
      </w:tr>
      <w:tr w:rsidR="00964F1C" w:rsidRPr="00964F1C" w:rsidTr="00964F1C">
        <w:tc>
          <w:tcPr>
            <w:tcW w:w="817" w:type="dxa"/>
          </w:tcPr>
          <w:p w:rsidR="00964F1C" w:rsidRPr="00964F1C" w:rsidRDefault="00964F1C" w:rsidP="00007483">
            <w:pPr>
              <w:spacing w:before="100" w:beforeAutospacing="1" w:after="100" w:afterAutospacing="1"/>
            </w:pPr>
            <w:r w:rsidRPr="00964F1C">
              <w:t>12.</w:t>
            </w:r>
          </w:p>
        </w:tc>
        <w:tc>
          <w:tcPr>
            <w:tcW w:w="4536" w:type="dxa"/>
          </w:tcPr>
          <w:p w:rsidR="00964F1C" w:rsidRPr="00964F1C" w:rsidRDefault="00F13820" w:rsidP="00007483">
            <w:pPr>
              <w:spacing w:before="100" w:beforeAutospacing="1" w:after="100" w:afterAutospacing="1"/>
            </w:pPr>
            <w:proofErr w:type="spellStart"/>
            <w:r>
              <w:t>KSC</w:t>
            </w:r>
            <w:proofErr w:type="spellEnd"/>
            <w:r w:rsidR="00964F1C" w:rsidRPr="00964F1C">
              <w:t xml:space="preserve"> warehouse (</w:t>
            </w:r>
            <w:proofErr w:type="spellStart"/>
            <w:r w:rsidR="00964F1C" w:rsidRPr="00964F1C">
              <w:t>YCA</w:t>
            </w:r>
            <w:proofErr w:type="spellEnd"/>
            <w:r w:rsidR="00964F1C" w:rsidRPr="00964F1C">
              <w:t xml:space="preserve"> infestation)</w:t>
            </w:r>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r w:rsidRPr="00964F1C">
              <w:t>X</w:t>
            </w:r>
          </w:p>
        </w:tc>
        <w:tc>
          <w:tcPr>
            <w:tcW w:w="1054" w:type="dxa"/>
          </w:tcPr>
          <w:p w:rsidR="00964F1C" w:rsidRPr="00964F1C" w:rsidRDefault="00964F1C" w:rsidP="00007483">
            <w:pPr>
              <w:spacing w:before="100" w:beforeAutospacing="1" w:after="100" w:afterAutospacing="1"/>
              <w:jc w:val="center"/>
            </w:pPr>
            <w:r w:rsidRPr="00964F1C">
              <w:t>X</w:t>
            </w:r>
          </w:p>
        </w:tc>
      </w:tr>
      <w:tr w:rsidR="00964F1C" w:rsidRPr="00964F1C" w:rsidTr="00964F1C">
        <w:tc>
          <w:tcPr>
            <w:tcW w:w="817" w:type="dxa"/>
          </w:tcPr>
          <w:p w:rsidR="00964F1C" w:rsidRPr="00964F1C" w:rsidRDefault="00964F1C" w:rsidP="00007483">
            <w:pPr>
              <w:spacing w:before="100" w:beforeAutospacing="1" w:after="100" w:afterAutospacing="1"/>
            </w:pPr>
            <w:r w:rsidRPr="00964F1C">
              <w:t>13.</w:t>
            </w:r>
          </w:p>
        </w:tc>
        <w:tc>
          <w:tcPr>
            <w:tcW w:w="4536" w:type="dxa"/>
          </w:tcPr>
          <w:p w:rsidR="00964F1C" w:rsidRPr="00964F1C" w:rsidRDefault="00964F1C" w:rsidP="00007483">
            <w:pPr>
              <w:spacing w:before="100" w:beforeAutospacing="1" w:after="100" w:afterAutospacing="1"/>
            </w:pPr>
            <w:r w:rsidRPr="00964F1C">
              <w:t>Commerce buildings (YCA infestation</w:t>
            </w:r>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r w:rsidRPr="00964F1C">
              <w:t>X</w:t>
            </w:r>
          </w:p>
        </w:tc>
        <w:tc>
          <w:tcPr>
            <w:tcW w:w="1054" w:type="dxa"/>
          </w:tcPr>
          <w:p w:rsidR="00964F1C" w:rsidRPr="00964F1C" w:rsidRDefault="00964F1C" w:rsidP="00007483">
            <w:pPr>
              <w:spacing w:before="100" w:beforeAutospacing="1" w:after="100" w:afterAutospacing="1"/>
              <w:jc w:val="center"/>
            </w:pPr>
            <w:r w:rsidRPr="00964F1C">
              <w:t>X</w:t>
            </w:r>
          </w:p>
        </w:tc>
      </w:tr>
      <w:tr w:rsidR="00964F1C" w:rsidRPr="00964F1C" w:rsidTr="00964F1C">
        <w:tc>
          <w:tcPr>
            <w:tcW w:w="817" w:type="dxa"/>
          </w:tcPr>
          <w:p w:rsidR="00964F1C" w:rsidRPr="00964F1C" w:rsidRDefault="00964F1C" w:rsidP="00007483">
            <w:pPr>
              <w:spacing w:before="100" w:beforeAutospacing="1" w:after="100" w:afterAutospacing="1"/>
            </w:pPr>
            <w:r w:rsidRPr="00964F1C">
              <w:t>14.</w:t>
            </w:r>
          </w:p>
        </w:tc>
        <w:tc>
          <w:tcPr>
            <w:tcW w:w="4536" w:type="dxa"/>
          </w:tcPr>
          <w:p w:rsidR="00964F1C" w:rsidRPr="00964F1C" w:rsidRDefault="00964F1C" w:rsidP="00007483">
            <w:pPr>
              <w:spacing w:before="100" w:beforeAutospacing="1" w:after="100" w:afterAutospacing="1"/>
            </w:pPr>
            <w:proofErr w:type="spellStart"/>
            <w:r w:rsidRPr="00964F1C">
              <w:t>Tabwakea</w:t>
            </w:r>
            <w:proofErr w:type="spellEnd"/>
            <w:r w:rsidRPr="00964F1C">
              <w:t xml:space="preserve"> village </w:t>
            </w:r>
            <w:proofErr w:type="spellStart"/>
            <w:r w:rsidRPr="00964F1C">
              <w:t>sportsground</w:t>
            </w:r>
            <w:proofErr w:type="spellEnd"/>
          </w:p>
        </w:tc>
        <w:tc>
          <w:tcPr>
            <w:tcW w:w="1559" w:type="dxa"/>
          </w:tcPr>
          <w:p w:rsidR="00964F1C" w:rsidRPr="00964F1C" w:rsidRDefault="00964F1C" w:rsidP="00007483">
            <w:pPr>
              <w:spacing w:before="100" w:beforeAutospacing="1" w:after="100" w:afterAutospacing="1"/>
              <w:jc w:val="center"/>
            </w:pPr>
            <w:r w:rsidRPr="00964F1C">
              <w:t>X</w:t>
            </w:r>
          </w:p>
        </w:tc>
        <w:tc>
          <w:tcPr>
            <w:tcW w:w="1276" w:type="dxa"/>
          </w:tcPr>
          <w:p w:rsidR="00964F1C" w:rsidRPr="00964F1C" w:rsidRDefault="00964F1C" w:rsidP="00007483">
            <w:pPr>
              <w:spacing w:before="100" w:beforeAutospacing="1" w:after="100" w:afterAutospacing="1"/>
              <w:jc w:val="center"/>
            </w:pPr>
          </w:p>
        </w:tc>
        <w:tc>
          <w:tcPr>
            <w:tcW w:w="1054" w:type="dxa"/>
          </w:tcPr>
          <w:p w:rsidR="00964F1C" w:rsidRPr="00964F1C" w:rsidRDefault="00964F1C" w:rsidP="00007483">
            <w:pPr>
              <w:spacing w:before="100" w:beforeAutospacing="1" w:after="100" w:afterAutospacing="1"/>
              <w:jc w:val="center"/>
            </w:pPr>
            <w:r w:rsidRPr="00964F1C">
              <w:t>X</w:t>
            </w:r>
          </w:p>
        </w:tc>
      </w:tr>
      <w:tr w:rsidR="00964F1C" w:rsidRPr="00964F1C" w:rsidTr="00964F1C">
        <w:tc>
          <w:tcPr>
            <w:tcW w:w="817" w:type="dxa"/>
            <w:tcBorders>
              <w:bottom w:val="single" w:sz="4" w:space="0" w:color="auto"/>
            </w:tcBorders>
          </w:tcPr>
          <w:p w:rsidR="00964F1C" w:rsidRPr="00964F1C" w:rsidRDefault="00964F1C" w:rsidP="00007483">
            <w:pPr>
              <w:spacing w:before="100" w:beforeAutospacing="1" w:after="100" w:afterAutospacing="1"/>
            </w:pPr>
            <w:r w:rsidRPr="00964F1C">
              <w:t>15.</w:t>
            </w:r>
          </w:p>
        </w:tc>
        <w:tc>
          <w:tcPr>
            <w:tcW w:w="4536" w:type="dxa"/>
            <w:tcBorders>
              <w:bottom w:val="single" w:sz="4" w:space="0" w:color="auto"/>
            </w:tcBorders>
          </w:tcPr>
          <w:p w:rsidR="00964F1C" w:rsidRPr="00964F1C" w:rsidRDefault="00964F1C" w:rsidP="00007483">
            <w:pPr>
              <w:spacing w:before="100" w:beforeAutospacing="1" w:after="100" w:afterAutospacing="1"/>
            </w:pPr>
            <w:r w:rsidRPr="00964F1C">
              <w:t xml:space="preserve">Hospital </w:t>
            </w:r>
          </w:p>
        </w:tc>
        <w:tc>
          <w:tcPr>
            <w:tcW w:w="1559" w:type="dxa"/>
            <w:tcBorders>
              <w:bottom w:val="single" w:sz="4" w:space="0" w:color="auto"/>
            </w:tcBorders>
          </w:tcPr>
          <w:p w:rsidR="00964F1C" w:rsidRPr="00964F1C" w:rsidRDefault="00964F1C" w:rsidP="00007483">
            <w:pPr>
              <w:spacing w:before="100" w:beforeAutospacing="1" w:after="100" w:afterAutospacing="1"/>
              <w:jc w:val="center"/>
            </w:pPr>
            <w:r w:rsidRPr="00964F1C">
              <w:t>X</w:t>
            </w:r>
          </w:p>
        </w:tc>
        <w:tc>
          <w:tcPr>
            <w:tcW w:w="1276" w:type="dxa"/>
            <w:tcBorders>
              <w:bottom w:val="single" w:sz="4" w:space="0" w:color="auto"/>
            </w:tcBorders>
          </w:tcPr>
          <w:p w:rsidR="00964F1C" w:rsidRPr="00964F1C" w:rsidRDefault="00964F1C" w:rsidP="00007483">
            <w:pPr>
              <w:spacing w:before="100" w:beforeAutospacing="1" w:after="100" w:afterAutospacing="1"/>
              <w:jc w:val="center"/>
            </w:pPr>
          </w:p>
        </w:tc>
        <w:tc>
          <w:tcPr>
            <w:tcW w:w="1054" w:type="dxa"/>
            <w:tcBorders>
              <w:bottom w:val="single" w:sz="4" w:space="0" w:color="auto"/>
            </w:tcBorders>
          </w:tcPr>
          <w:p w:rsidR="00964F1C" w:rsidRPr="00964F1C" w:rsidRDefault="00964F1C" w:rsidP="00007483">
            <w:pPr>
              <w:spacing w:before="100" w:beforeAutospacing="1" w:after="100" w:afterAutospacing="1"/>
              <w:jc w:val="center"/>
            </w:pPr>
          </w:p>
        </w:tc>
      </w:tr>
    </w:tbl>
    <w:p w:rsidR="00964F1C" w:rsidRDefault="00964F1C" w:rsidP="00964F1C"/>
    <w:p w:rsidR="00964F1C" w:rsidRDefault="00964F1C" w:rsidP="00964F1C">
      <w:pPr>
        <w:pStyle w:val="Heading2"/>
      </w:pPr>
      <w:r>
        <w:t>Results</w:t>
      </w:r>
    </w:p>
    <w:p w:rsidR="00FF3E8B" w:rsidRDefault="00964F1C" w:rsidP="00B67376">
      <w:r>
        <w:t xml:space="preserve">The survey resulted in detection of a total of 20 ant species (Table 1). The ants found at most sites were </w:t>
      </w:r>
      <w:proofErr w:type="spellStart"/>
      <w:r w:rsidRPr="00C92F47">
        <w:rPr>
          <w:i/>
        </w:rPr>
        <w:t>Monomorium</w:t>
      </w:r>
      <w:proofErr w:type="spellEnd"/>
      <w:r w:rsidRPr="00C92F47">
        <w:rPr>
          <w:i/>
        </w:rPr>
        <w:t xml:space="preserve"> </w:t>
      </w:r>
      <w:proofErr w:type="spellStart"/>
      <w:r w:rsidRPr="00C92F47">
        <w:rPr>
          <w:i/>
        </w:rPr>
        <w:t>floricola</w:t>
      </w:r>
      <w:proofErr w:type="spellEnd"/>
      <w:r>
        <w:t xml:space="preserve">, the two </w:t>
      </w:r>
      <w:proofErr w:type="spellStart"/>
      <w:r w:rsidRPr="00C92F47">
        <w:rPr>
          <w:i/>
        </w:rPr>
        <w:t>Paratrechina</w:t>
      </w:r>
      <w:proofErr w:type="spellEnd"/>
      <w:r>
        <w:t xml:space="preserve"> species and African big-headed ant </w:t>
      </w:r>
      <w:r w:rsidRPr="00C92F47">
        <w:rPr>
          <w:i/>
        </w:rPr>
        <w:t>Pheidole megacephala</w:t>
      </w:r>
      <w:r>
        <w:t xml:space="preserve">.  The sites where the most species were found included the port, around the town </w:t>
      </w:r>
      <w:r w:rsidR="00C92F47">
        <w:t xml:space="preserve">near the </w:t>
      </w:r>
      <w:r>
        <w:t>wharf and JMB store. Note that lack of detection of a species does not indicate its absence from a site. However, common species are likely to be detected if they are present.</w:t>
      </w:r>
    </w:p>
    <w:p w:rsidR="002A549F" w:rsidRDefault="002A549F" w:rsidP="00DA02E8">
      <w:pPr>
        <w:pStyle w:val="Heading2"/>
        <w:jc w:val="left"/>
      </w:pPr>
      <w:r w:rsidRPr="004D4B8C">
        <w:lastRenderedPageBreak/>
        <w:t>Table 1:</w:t>
      </w:r>
      <w:r>
        <w:t xml:space="preserve"> </w:t>
      </w:r>
      <w:r w:rsidR="00B67376">
        <w:t xml:space="preserve">Ant </w:t>
      </w:r>
      <w:r>
        <w:t xml:space="preserve">species found during survey of Kiritimati February – March 2013.  </w:t>
      </w:r>
    </w:p>
    <w:p w:rsidR="002A549F" w:rsidRPr="002A549F" w:rsidRDefault="00F13820" w:rsidP="00B67376">
      <w:pPr>
        <w:jc w:val="center"/>
      </w:pPr>
      <w:r w:rsidRPr="00F13820">
        <w:drawing>
          <wp:inline distT="0" distB="0" distL="0" distR="0">
            <wp:extent cx="5324475" cy="89197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b="636"/>
                    <a:stretch/>
                  </pic:blipFill>
                  <pic:spPr bwMode="auto">
                    <a:xfrm>
                      <a:off x="0" y="0"/>
                      <a:ext cx="5324264" cy="8919438"/>
                    </a:xfrm>
                    <a:prstGeom prst="rect">
                      <a:avLst/>
                    </a:prstGeom>
                    <a:noFill/>
                    <a:ln>
                      <a:noFill/>
                    </a:ln>
                    <a:extLst>
                      <a:ext uri="{53640926-AAD7-44D8-BBD7-CCE9431645EC}">
                        <a14:shadowObscured xmlns:a14="http://schemas.microsoft.com/office/drawing/2010/main"/>
                      </a:ext>
                    </a:extLst>
                  </pic:spPr>
                </pic:pic>
              </a:graphicData>
            </a:graphic>
          </wp:inline>
        </w:drawing>
      </w:r>
    </w:p>
    <w:p w:rsidR="00FF3E8B" w:rsidRDefault="00FF3E8B" w:rsidP="00FF3E8B">
      <w:r>
        <w:lastRenderedPageBreak/>
        <w:t xml:space="preserve">African big-headed ants were found at most sites. However, our survey did not find this ant on the protected islands of </w:t>
      </w:r>
      <w:proofErr w:type="spellStart"/>
      <w:r>
        <w:t>Motu</w:t>
      </w:r>
      <w:proofErr w:type="spellEnd"/>
      <w:r>
        <w:t xml:space="preserve"> </w:t>
      </w:r>
      <w:proofErr w:type="spellStart"/>
      <w:r>
        <w:t>tabu</w:t>
      </w:r>
      <w:proofErr w:type="spellEnd"/>
      <w:r>
        <w:t xml:space="preserve"> and South west </w:t>
      </w:r>
      <w:proofErr w:type="spellStart"/>
      <w:r>
        <w:t>Nimroona</w:t>
      </w:r>
      <w:proofErr w:type="spellEnd"/>
      <w:r>
        <w:t xml:space="preserve">. On these protected islands we found species of </w:t>
      </w:r>
      <w:proofErr w:type="spellStart"/>
      <w:r w:rsidRPr="00C92F47">
        <w:rPr>
          <w:i/>
        </w:rPr>
        <w:t>Paratrechina</w:t>
      </w:r>
      <w:proofErr w:type="spellEnd"/>
      <w:r>
        <w:t xml:space="preserve">, which are also common across the Pacific.  </w:t>
      </w:r>
      <w:proofErr w:type="spellStart"/>
      <w:r w:rsidRPr="00C92F47">
        <w:rPr>
          <w:i/>
        </w:rPr>
        <w:t>Tetramorium</w:t>
      </w:r>
      <w:proofErr w:type="spellEnd"/>
      <w:r>
        <w:t xml:space="preserve"> sp. ants were found on South west </w:t>
      </w:r>
      <w:proofErr w:type="spellStart"/>
      <w:r>
        <w:t>Nimroona</w:t>
      </w:r>
      <w:proofErr w:type="spellEnd"/>
      <w:r>
        <w:t xml:space="preserve"> and </w:t>
      </w:r>
      <w:proofErr w:type="spellStart"/>
      <w:r>
        <w:t>Motu</w:t>
      </w:r>
      <w:proofErr w:type="spellEnd"/>
      <w:r>
        <w:t xml:space="preserve"> </w:t>
      </w:r>
      <w:proofErr w:type="spellStart"/>
      <w:r>
        <w:t>Tabu</w:t>
      </w:r>
      <w:proofErr w:type="spellEnd"/>
      <w:r>
        <w:t>.</w:t>
      </w:r>
    </w:p>
    <w:p w:rsidR="00FF3E8B" w:rsidRDefault="00FF3E8B" w:rsidP="00FF3E8B">
      <w:r>
        <w:t xml:space="preserve">Yellow crazy ants </w:t>
      </w:r>
      <w:proofErr w:type="spellStart"/>
      <w:r w:rsidR="000F683B" w:rsidRPr="00C92F47">
        <w:rPr>
          <w:i/>
        </w:rPr>
        <w:t>Anoplolepis</w:t>
      </w:r>
      <w:proofErr w:type="spellEnd"/>
      <w:r w:rsidR="000F683B" w:rsidRPr="00C92F47">
        <w:rPr>
          <w:i/>
        </w:rPr>
        <w:t xml:space="preserve"> </w:t>
      </w:r>
      <w:proofErr w:type="spellStart"/>
      <w:r w:rsidR="000F683B" w:rsidRPr="00C92F47">
        <w:rPr>
          <w:i/>
        </w:rPr>
        <w:t>gracilipes</w:t>
      </w:r>
      <w:proofErr w:type="spellEnd"/>
      <w:r w:rsidR="000F683B">
        <w:t xml:space="preserve"> </w:t>
      </w:r>
      <w:r>
        <w:t xml:space="preserve">were initially found only at a well-defined area the </w:t>
      </w:r>
      <w:proofErr w:type="spellStart"/>
      <w:r w:rsidR="006E091A">
        <w:t>KSC</w:t>
      </w:r>
      <w:proofErr w:type="spellEnd"/>
      <w:r w:rsidR="006E091A">
        <w:t xml:space="preserve"> </w:t>
      </w:r>
      <w:proofErr w:type="spellStart"/>
      <w:r w:rsidR="006E091A">
        <w:t>commerece</w:t>
      </w:r>
      <w:proofErr w:type="spellEnd"/>
      <w:r>
        <w:t xml:space="preserve"> warehouse and commerce buildings in London town, and the Water and Sanitation premises. These properties adjoin each other. Although yellow crazy ants were not detected at the Town dump on initial visual inspection, they were found in a single lure during identifications.</w:t>
      </w:r>
    </w:p>
    <w:p w:rsidR="00FF3E8B" w:rsidRDefault="00FF3E8B" w:rsidP="00FF3E8B">
      <w:r>
        <w:t>No tropical fire ants (</w:t>
      </w:r>
      <w:proofErr w:type="spellStart"/>
      <w:r w:rsidRPr="00C92F47">
        <w:rPr>
          <w:i/>
        </w:rPr>
        <w:t>Solenopsis</w:t>
      </w:r>
      <w:proofErr w:type="spellEnd"/>
      <w:r w:rsidRPr="00C92F47">
        <w:rPr>
          <w:i/>
        </w:rPr>
        <w:t xml:space="preserve"> </w:t>
      </w:r>
      <w:proofErr w:type="spellStart"/>
      <w:r w:rsidRPr="00C92F47">
        <w:rPr>
          <w:i/>
        </w:rPr>
        <w:t>geminata</w:t>
      </w:r>
      <w:proofErr w:type="spellEnd"/>
      <w:r>
        <w:t xml:space="preserve">) were found during this survey, although they are known to occur on Tarawa and a ‘red ant’ has been reported on Kiritimati that may be </w:t>
      </w:r>
      <w:proofErr w:type="spellStart"/>
      <w:r w:rsidRPr="00C92F47">
        <w:rPr>
          <w:i/>
        </w:rPr>
        <w:t>Solenopsis</w:t>
      </w:r>
      <w:proofErr w:type="spellEnd"/>
      <w:r w:rsidRPr="00C92F47">
        <w:rPr>
          <w:i/>
        </w:rPr>
        <w:t xml:space="preserve"> </w:t>
      </w:r>
      <w:proofErr w:type="spellStart"/>
      <w:r w:rsidRPr="00C92F47">
        <w:rPr>
          <w:i/>
        </w:rPr>
        <w:t>geminata</w:t>
      </w:r>
      <w:proofErr w:type="spellEnd"/>
      <w:r>
        <w:t>.</w:t>
      </w:r>
      <w:r w:rsidR="000F683B">
        <w:t xml:space="preserve"> No other fire ants (the red imported fire ant </w:t>
      </w:r>
      <w:proofErr w:type="spellStart"/>
      <w:r w:rsidR="000F683B" w:rsidRPr="00C92F47">
        <w:rPr>
          <w:i/>
        </w:rPr>
        <w:t>Solenopsis</w:t>
      </w:r>
      <w:proofErr w:type="spellEnd"/>
      <w:r w:rsidR="000F683B" w:rsidRPr="00C92F47">
        <w:rPr>
          <w:i/>
        </w:rPr>
        <w:t xml:space="preserve"> </w:t>
      </w:r>
      <w:proofErr w:type="spellStart"/>
      <w:r w:rsidR="000F683B">
        <w:rPr>
          <w:i/>
        </w:rPr>
        <w:t>invicta</w:t>
      </w:r>
      <w:proofErr w:type="spellEnd"/>
      <w:r w:rsidR="000F683B">
        <w:t xml:space="preserve"> and little fire ant </w:t>
      </w:r>
      <w:proofErr w:type="spellStart"/>
      <w:r w:rsidR="000F683B" w:rsidRPr="000F683B">
        <w:rPr>
          <w:i/>
        </w:rPr>
        <w:t>Wasmannia</w:t>
      </w:r>
      <w:proofErr w:type="spellEnd"/>
      <w:r w:rsidR="000F683B" w:rsidRPr="000F683B">
        <w:rPr>
          <w:i/>
        </w:rPr>
        <w:t xml:space="preserve"> </w:t>
      </w:r>
      <w:proofErr w:type="spellStart"/>
      <w:r w:rsidR="000F683B" w:rsidRPr="000F683B">
        <w:rPr>
          <w:i/>
        </w:rPr>
        <w:t>auropunctata</w:t>
      </w:r>
      <w:proofErr w:type="spellEnd"/>
      <w:r w:rsidR="000F683B">
        <w:t>, the two worst invasive ant species) were detected.</w:t>
      </w:r>
    </w:p>
    <w:p w:rsidR="00FF3E8B" w:rsidRDefault="00FF3E8B" w:rsidP="00FF3E8B">
      <w:pPr>
        <w:pStyle w:val="Heading2"/>
      </w:pPr>
      <w:r>
        <w:t>Conclusions and recommendations</w:t>
      </w:r>
    </w:p>
    <w:p w:rsidR="00FF3E8B" w:rsidRDefault="00FF3E8B" w:rsidP="00FF3E8B">
      <w:r>
        <w:t xml:space="preserve">Of the ants detected in this survey, the species of most potential concern are yellow crazy ants </w:t>
      </w:r>
      <w:proofErr w:type="spellStart"/>
      <w:r w:rsidR="000F683B" w:rsidRPr="00C92F47">
        <w:rPr>
          <w:i/>
        </w:rPr>
        <w:t>Anoplolepis</w:t>
      </w:r>
      <w:proofErr w:type="spellEnd"/>
      <w:r w:rsidR="000F683B" w:rsidRPr="00C92F47">
        <w:rPr>
          <w:i/>
        </w:rPr>
        <w:t xml:space="preserve"> </w:t>
      </w:r>
      <w:proofErr w:type="spellStart"/>
      <w:r w:rsidR="000F683B" w:rsidRPr="00C92F47">
        <w:rPr>
          <w:i/>
        </w:rPr>
        <w:t>gracilipes</w:t>
      </w:r>
      <w:proofErr w:type="spellEnd"/>
      <w:r w:rsidR="000F683B">
        <w:t xml:space="preserve"> </w:t>
      </w:r>
      <w:r>
        <w:t>and African big-headed ants</w:t>
      </w:r>
      <w:r w:rsidR="000F683B" w:rsidRPr="000F683B">
        <w:rPr>
          <w:i/>
        </w:rPr>
        <w:t xml:space="preserve"> </w:t>
      </w:r>
      <w:proofErr w:type="spellStart"/>
      <w:r w:rsidR="000F683B" w:rsidRPr="000F683B">
        <w:rPr>
          <w:i/>
        </w:rPr>
        <w:t>Pheidole</w:t>
      </w:r>
      <w:proofErr w:type="spellEnd"/>
      <w:r w:rsidR="000F683B" w:rsidRPr="000F683B">
        <w:rPr>
          <w:i/>
        </w:rPr>
        <w:t xml:space="preserve"> </w:t>
      </w:r>
      <w:proofErr w:type="spellStart"/>
      <w:r w:rsidR="000F683B" w:rsidRPr="000F683B">
        <w:rPr>
          <w:i/>
        </w:rPr>
        <w:t>megacephala</w:t>
      </w:r>
      <w:proofErr w:type="spellEnd"/>
      <w:r>
        <w:t xml:space="preserve">. Currently no detectable negative effects have been reported for these ant species on Kiritimati. </w:t>
      </w:r>
    </w:p>
    <w:p w:rsidR="00FF3E8B" w:rsidRDefault="00FF3E8B" w:rsidP="00FF3E8B">
      <w:r>
        <w:t>On a positive note, we found no fire ants</w:t>
      </w:r>
      <w:r w:rsidR="000F683B">
        <w:t xml:space="preserve"> (</w:t>
      </w:r>
      <w:proofErr w:type="spellStart"/>
      <w:r w:rsidR="000F683B" w:rsidRPr="00C92F47">
        <w:rPr>
          <w:i/>
        </w:rPr>
        <w:t>Solenopsis</w:t>
      </w:r>
      <w:proofErr w:type="spellEnd"/>
      <w:r w:rsidR="000F683B" w:rsidRPr="00C92F47">
        <w:rPr>
          <w:i/>
        </w:rPr>
        <w:t xml:space="preserve"> </w:t>
      </w:r>
      <w:proofErr w:type="spellStart"/>
      <w:r w:rsidR="000F683B">
        <w:rPr>
          <w:i/>
        </w:rPr>
        <w:t>invicta</w:t>
      </w:r>
      <w:proofErr w:type="spellEnd"/>
      <w:r w:rsidR="000F683B">
        <w:t xml:space="preserve"> </w:t>
      </w:r>
      <w:r w:rsidR="000F683B" w:rsidRPr="000F683B">
        <w:t>,</w:t>
      </w:r>
      <w:r w:rsidR="000F683B" w:rsidRPr="000F683B">
        <w:rPr>
          <w:i/>
        </w:rPr>
        <w:t xml:space="preserve"> </w:t>
      </w:r>
      <w:proofErr w:type="spellStart"/>
      <w:r w:rsidR="000F683B" w:rsidRPr="00C92F47">
        <w:rPr>
          <w:i/>
        </w:rPr>
        <w:t>Solenopsis</w:t>
      </w:r>
      <w:proofErr w:type="spellEnd"/>
      <w:r w:rsidR="000F683B" w:rsidRPr="00C92F47">
        <w:rPr>
          <w:i/>
        </w:rPr>
        <w:t xml:space="preserve"> </w:t>
      </w:r>
      <w:proofErr w:type="spellStart"/>
      <w:r w:rsidR="000F683B" w:rsidRPr="00C92F47">
        <w:rPr>
          <w:i/>
        </w:rPr>
        <w:t>geminata</w:t>
      </w:r>
      <w:proofErr w:type="spellEnd"/>
      <w:r w:rsidR="000F683B" w:rsidRPr="000F683B">
        <w:t>,</w:t>
      </w:r>
      <w:r w:rsidR="000F683B">
        <w:t xml:space="preserve"> </w:t>
      </w:r>
      <w:proofErr w:type="spellStart"/>
      <w:r w:rsidR="000F683B" w:rsidRPr="000F683B">
        <w:rPr>
          <w:i/>
        </w:rPr>
        <w:t>Wasmannia</w:t>
      </w:r>
      <w:proofErr w:type="spellEnd"/>
      <w:r w:rsidR="000F683B" w:rsidRPr="000F683B">
        <w:rPr>
          <w:i/>
        </w:rPr>
        <w:t xml:space="preserve"> </w:t>
      </w:r>
      <w:proofErr w:type="spellStart"/>
      <w:r w:rsidR="000F683B" w:rsidRPr="000F683B">
        <w:rPr>
          <w:i/>
        </w:rPr>
        <w:t>auropunctata</w:t>
      </w:r>
      <w:proofErr w:type="spellEnd"/>
      <w:r w:rsidR="000F683B">
        <w:t>)</w:t>
      </w:r>
      <w:r>
        <w:t xml:space="preserve"> and no ants of high concern on </w:t>
      </w:r>
      <w:proofErr w:type="spellStart"/>
      <w:r>
        <w:t>Motu</w:t>
      </w:r>
      <w:proofErr w:type="spellEnd"/>
      <w:r>
        <w:t xml:space="preserve"> </w:t>
      </w:r>
      <w:proofErr w:type="spellStart"/>
      <w:r>
        <w:t>Tabu</w:t>
      </w:r>
      <w:proofErr w:type="spellEnd"/>
      <w:r>
        <w:t xml:space="preserve"> or South west </w:t>
      </w:r>
      <w:proofErr w:type="spellStart"/>
      <w:r>
        <w:t>Nimroona</w:t>
      </w:r>
      <w:proofErr w:type="spellEnd"/>
      <w:r>
        <w:t xml:space="preserve">. Although </w:t>
      </w:r>
      <w:proofErr w:type="spellStart"/>
      <w:r>
        <w:t>Motu</w:t>
      </w:r>
      <w:proofErr w:type="spellEnd"/>
      <w:r>
        <w:t xml:space="preserve"> </w:t>
      </w:r>
      <w:proofErr w:type="spellStart"/>
      <w:r>
        <w:t>Tabu</w:t>
      </w:r>
      <w:proofErr w:type="spellEnd"/>
      <w:r>
        <w:t xml:space="preserve"> has black crazy ants</w:t>
      </w:r>
      <w:r w:rsidR="000F683B">
        <w:t xml:space="preserve"> (</w:t>
      </w:r>
      <w:proofErr w:type="spellStart"/>
      <w:r w:rsidR="000F683B" w:rsidRPr="00C92F47">
        <w:rPr>
          <w:i/>
        </w:rPr>
        <w:t>Paratrechina</w:t>
      </w:r>
      <w:proofErr w:type="spellEnd"/>
      <w:r w:rsidR="000F683B">
        <w:rPr>
          <w:i/>
        </w:rPr>
        <w:t xml:space="preserve"> </w:t>
      </w:r>
      <w:proofErr w:type="spellStart"/>
      <w:r w:rsidR="000F683B">
        <w:rPr>
          <w:i/>
        </w:rPr>
        <w:t>longicornis</w:t>
      </w:r>
      <w:proofErr w:type="spellEnd"/>
      <w:r w:rsidR="000F683B">
        <w:t>)</w:t>
      </w:r>
      <w:r>
        <w:t>, they potentially don’t have any effects to be too concerned about, as the seabird populations are doing well there.</w:t>
      </w:r>
    </w:p>
    <w:p w:rsidR="00FF3E8B" w:rsidRDefault="00FF3E8B" w:rsidP="00FF3E8B">
      <w:r>
        <w:t>The African big-headed ant is common in inhabited islands across the Pacific, where it causes few problems for humans (</w:t>
      </w:r>
      <w:proofErr w:type="spellStart"/>
      <w:r>
        <w:t>Wetterer</w:t>
      </w:r>
      <w:proofErr w:type="spellEnd"/>
      <w:r>
        <w:t xml:space="preserve"> 2007). However the ant may be of concern if it reaches uninhabited islands of conservation importance (</w:t>
      </w:r>
      <w:proofErr w:type="spellStart"/>
      <w:r>
        <w:t>Wetterer</w:t>
      </w:r>
      <w:proofErr w:type="spellEnd"/>
      <w:r>
        <w:t xml:space="preserve"> 2007). </w:t>
      </w:r>
    </w:p>
    <w:p w:rsidR="00FF3E8B" w:rsidRDefault="00FF3E8B" w:rsidP="00FF3E8B">
      <w:r>
        <w:t xml:space="preserve">The yellow crazy ant invasion of Kiritimati is apparently isolated and in low abundance, and therefore its effects are difficult to perceive or measure at present. The progress of a yellow crazy invasion in any given place is not predictable, and the ants may remain in low abundance for many years. However, when in high abundance these ants have devastating effects on the environment and human lifestyle in Pacific Island Nations. </w:t>
      </w:r>
    </w:p>
    <w:p w:rsidR="00FF3E8B" w:rsidRDefault="00FF3E8B" w:rsidP="00FF3E8B">
      <w:r>
        <w:t>For example, at present the yellow crazy ants are causing significant problems on Atafu atoll, Tokelau. The yellow crazy ants were first found here in 2008 and by 2011 they covered half the atoll (~37 hectares; Pierce et al. 2012). By 2012 the abundance of the ant on Atafu was so great that residents perceived it has driven the local coconut crab population to extinction, people cannot leave food outside, and the ants enter their homes and crawl over them at night, making sleep difficult (Gruber 2012). The cost to manage this ant to low levels of abundance on Atafu has been estimated at around AUD180</w:t>
      </w:r>
      <w:proofErr w:type="gramStart"/>
      <w:r>
        <w:t>,000</w:t>
      </w:r>
      <w:proofErr w:type="gramEnd"/>
      <w:r>
        <w:t>. This management effort would not achieve eradication. The problems the ant can cause would be disastrous and expensive for Kiritimati and it is strongly recommended the ant be managed to be ‘safe rather than sorry’. While the distribution of the ant is relatively isolated, management is much less expensive.</w:t>
      </w:r>
    </w:p>
    <w:p w:rsidR="00FF3E8B" w:rsidRDefault="00FF3E8B" w:rsidP="00FF3E8B">
      <w:r>
        <w:t xml:space="preserve">The identification process found a crazy ant in one of the collections from the town dump. These ants weren’t obvious when the survey was being undertaken, so they are perhaps in low abundance, or they may have got there recently. Ray Pierce noted that rubbish was being taken to the dump from around the customs office. So the ants may have only been foraging workers, but this must be followed up. It is advised that the progress of the yellow crazy ant incursion be monitored and managed in case of spread. Before leaving Kiritimati Ray Pierce devised a set of first response actions (Appendix 2) to which Agriculture agreed to implement. </w:t>
      </w:r>
    </w:p>
    <w:p w:rsidR="00FF3E8B" w:rsidRDefault="00FF3E8B" w:rsidP="00FF3E8B">
      <w:r>
        <w:t xml:space="preserve">In summary I recommend continuing with the first response actions identified by Ray Pierce, intermittent monitoring on </w:t>
      </w:r>
      <w:proofErr w:type="spellStart"/>
      <w:r>
        <w:t>Motu</w:t>
      </w:r>
      <w:proofErr w:type="spellEnd"/>
      <w:r>
        <w:t xml:space="preserve"> </w:t>
      </w:r>
      <w:proofErr w:type="spellStart"/>
      <w:r>
        <w:t>Tabu</w:t>
      </w:r>
      <w:proofErr w:type="spellEnd"/>
      <w:r>
        <w:t xml:space="preserve"> and South west </w:t>
      </w:r>
      <w:proofErr w:type="spellStart"/>
      <w:r>
        <w:t>Nimroona</w:t>
      </w:r>
      <w:proofErr w:type="spellEnd"/>
      <w:r>
        <w:t xml:space="preserve"> (and other protected islands) to note any possible harassment of birds by ants, re-surveying the town dump area with sugar lures left out for a longer time (1 hour) to determine if yellow crazy ants have established there.</w:t>
      </w:r>
    </w:p>
    <w:p w:rsidR="00B67376" w:rsidRDefault="00B67376">
      <w:pPr>
        <w:spacing w:after="200" w:line="276" w:lineRule="auto"/>
        <w:jc w:val="left"/>
        <w:rPr>
          <w:rFonts w:ascii="Helvetica" w:eastAsiaTheme="majorEastAsia" w:hAnsi="Helvetica" w:cstheme="majorBidi"/>
          <w:b/>
          <w:bCs/>
          <w:color w:val="63B345"/>
          <w:sz w:val="26"/>
          <w:szCs w:val="26"/>
        </w:rPr>
      </w:pPr>
      <w:r>
        <w:br w:type="page"/>
      </w:r>
    </w:p>
    <w:p w:rsidR="00FF3E8B" w:rsidRDefault="00FF3E8B" w:rsidP="00FF3E8B">
      <w:pPr>
        <w:pStyle w:val="Heading2"/>
      </w:pPr>
      <w:r>
        <w:lastRenderedPageBreak/>
        <w:t>Acknowledgements</w:t>
      </w:r>
    </w:p>
    <w:p w:rsidR="00FF3E8B" w:rsidRDefault="00FF3E8B" w:rsidP="00FF3E8B">
      <w:r>
        <w:t>Grateful thanks to the staff of the Kiritimati Wildlife and Agriculture teams led by Ratita Bebe and Ata Binoka for their assistance with the survey, and Ray Pierce for follow-up work in the period since the survey was conducted. Thanks to Bill Nagle of Pacific Invasives Initiative and Ray Pierce for their support during and after the survey.</w:t>
      </w:r>
      <w:r w:rsidR="00D43906">
        <w:t xml:space="preserve"> The Critical Ecosystems Partnership Fund (CEPF) </w:t>
      </w:r>
      <w:r w:rsidR="001E3137">
        <w:t xml:space="preserve">provided </w:t>
      </w:r>
      <w:r w:rsidR="00D43906">
        <w:t xml:space="preserve">financial support </w:t>
      </w:r>
      <w:r w:rsidR="001E3137">
        <w:t>for</w:t>
      </w:r>
      <w:r w:rsidR="00D43906">
        <w:t xml:space="preserve"> the survey.</w:t>
      </w:r>
    </w:p>
    <w:p w:rsidR="00A86191" w:rsidRDefault="00A86191" w:rsidP="00435B6D">
      <w:pPr>
        <w:jc w:val="center"/>
        <w:sectPr w:rsidR="00A86191" w:rsidSect="00C92F47">
          <w:footerReference w:type="default" r:id="rId10"/>
          <w:headerReference w:type="first" r:id="rId11"/>
          <w:footerReference w:type="first" r:id="rId12"/>
          <w:pgSz w:w="11906" w:h="16838"/>
          <w:pgMar w:top="1134" w:right="1134" w:bottom="1247" w:left="1247" w:header="709" w:footer="567" w:gutter="0"/>
          <w:cols w:space="708"/>
          <w:titlePg/>
          <w:docGrid w:linePitch="360"/>
        </w:sectPr>
      </w:pPr>
    </w:p>
    <w:p w:rsidR="00A86191" w:rsidRDefault="00A86191" w:rsidP="00435B6D">
      <w:pPr>
        <w:jc w:val="center"/>
      </w:pPr>
    </w:p>
    <w:p w:rsidR="00A86191" w:rsidRDefault="00A86191" w:rsidP="00435B6D">
      <w:pPr>
        <w:jc w:val="center"/>
      </w:pPr>
    </w:p>
    <w:p w:rsidR="00A86191" w:rsidRDefault="00A86191" w:rsidP="00435B6D">
      <w:pPr>
        <w:jc w:val="center"/>
      </w:pPr>
    </w:p>
    <w:p w:rsidR="00435B6D" w:rsidRDefault="00A86191" w:rsidP="00435B6D">
      <w:pPr>
        <w:jc w:val="center"/>
      </w:pPr>
      <w:r>
        <w:rPr>
          <w:noProof/>
          <w:lang w:eastAsia="en-NZ"/>
        </w:rPr>
        <w:drawing>
          <wp:inline distT="0" distB="0" distL="0" distR="0" wp14:anchorId="0D1B7115" wp14:editId="70CDD791">
            <wp:extent cx="3009900" cy="977792"/>
            <wp:effectExtent l="0" t="0" r="0" b="0"/>
            <wp:docPr id="5" name="Picture 5" descr="C:\Users\grubermo\AppData\Local\Microsoft\Windows\Temporary Internet Files\Content.Word\PI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ubermo\AppData\Local\Microsoft\Windows\Temporary Internet Files\Content.Word\PII Logo horizont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900" cy="977792"/>
                    </a:xfrm>
                    <a:prstGeom prst="rect">
                      <a:avLst/>
                    </a:prstGeom>
                    <a:noFill/>
                    <a:ln>
                      <a:noFill/>
                    </a:ln>
                  </pic:spPr>
                </pic:pic>
              </a:graphicData>
            </a:graphic>
          </wp:inline>
        </w:drawing>
      </w:r>
    </w:p>
    <w:p w:rsidR="0064312C" w:rsidRDefault="00A86191" w:rsidP="00FF3E8B">
      <w:pPr>
        <w:pStyle w:val="Heading2"/>
      </w:pPr>
      <w:r>
        <w:br w:type="column"/>
      </w:r>
    </w:p>
    <w:p w:rsidR="0064312C" w:rsidRPr="0064312C" w:rsidRDefault="0064312C" w:rsidP="0064312C">
      <w:pPr>
        <w:spacing w:after="200" w:line="276" w:lineRule="auto"/>
        <w:jc w:val="left"/>
        <w:rPr>
          <w:rFonts w:ascii="Calibri" w:eastAsia="Calibri" w:hAnsi="Calibri" w:cs="Times New Roman"/>
          <w:sz w:val="22"/>
          <w:lang w:val="en-GB" w:eastAsia="en-US"/>
        </w:rPr>
      </w:pPr>
      <w:r w:rsidRPr="0064312C">
        <w:rPr>
          <w:rFonts w:ascii="Calibri" w:eastAsia="Calibri" w:hAnsi="Calibri" w:cs="Times New Roman"/>
          <w:noProof/>
          <w:sz w:val="22"/>
          <w:lang w:eastAsia="en-NZ"/>
        </w:rPr>
        <w:drawing>
          <wp:inline distT="0" distB="0" distL="0" distR="0">
            <wp:extent cx="2790825" cy="942172"/>
            <wp:effectExtent l="0" t="0" r="0" b="0"/>
            <wp:docPr id="3" name="Picture 2" descr="Description: C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EP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0825" cy="942172"/>
                    </a:xfrm>
                    <a:prstGeom prst="rect">
                      <a:avLst/>
                    </a:prstGeom>
                    <a:noFill/>
                  </pic:spPr>
                </pic:pic>
              </a:graphicData>
            </a:graphic>
          </wp:inline>
        </w:drawing>
      </w:r>
    </w:p>
    <w:p w:rsidR="0064312C" w:rsidRPr="0064312C" w:rsidRDefault="0064312C" w:rsidP="00A86191">
      <w:pPr>
        <w:spacing w:after="200" w:line="276" w:lineRule="auto"/>
        <w:rPr>
          <w:rFonts w:ascii="Calibri" w:eastAsia="Calibri" w:hAnsi="Calibri" w:cs="Times New Roman"/>
          <w:sz w:val="22"/>
          <w:lang w:val="en-GB" w:eastAsia="en-US"/>
        </w:rPr>
      </w:pPr>
      <w:r w:rsidRPr="0064312C">
        <w:rPr>
          <w:rFonts w:ascii="Arial" w:eastAsia="Calibri" w:hAnsi="Arial" w:cs="Arial"/>
          <w:color w:val="ED1C2E"/>
          <w:sz w:val="18"/>
          <w:szCs w:val="18"/>
          <w:shd w:val="clear" w:color="auto" w:fill="FFFFFF"/>
          <w:lang w:val="en-GB" w:eastAsia="en-US"/>
        </w:rPr>
        <w:t xml:space="preserve">The Critical Ecosystem Partnership Fund is a joint program of </w:t>
      </w:r>
      <w:hyperlink r:id="rId15" w:tgtFrame="_blank" w:history="1">
        <w:proofErr w:type="spellStart"/>
        <w:r w:rsidRPr="0064312C">
          <w:rPr>
            <w:rFonts w:ascii="Arial" w:eastAsia="Calibri" w:hAnsi="Arial" w:cs="Arial"/>
            <w:color w:val="ED1C2E"/>
            <w:sz w:val="18"/>
            <w:szCs w:val="18"/>
            <w:shd w:val="clear" w:color="auto" w:fill="FFFFFF"/>
            <w:lang w:val="en-GB" w:eastAsia="en-US"/>
          </w:rPr>
          <w:t>l'Agence</w:t>
        </w:r>
        <w:proofErr w:type="spellEnd"/>
        <w:r w:rsidRPr="0064312C">
          <w:rPr>
            <w:rFonts w:ascii="Arial" w:eastAsia="Calibri" w:hAnsi="Arial" w:cs="Arial"/>
            <w:color w:val="ED1C2E"/>
            <w:sz w:val="18"/>
            <w:szCs w:val="18"/>
            <w:shd w:val="clear" w:color="auto" w:fill="FFFFFF"/>
            <w:lang w:val="en-GB" w:eastAsia="en-US"/>
          </w:rPr>
          <w:t xml:space="preserve"> </w:t>
        </w:r>
        <w:proofErr w:type="spellStart"/>
        <w:r w:rsidRPr="0064312C">
          <w:rPr>
            <w:rFonts w:ascii="Arial" w:eastAsia="Calibri" w:hAnsi="Arial" w:cs="Arial"/>
            <w:color w:val="ED1C2E"/>
            <w:sz w:val="18"/>
            <w:szCs w:val="18"/>
            <w:shd w:val="clear" w:color="auto" w:fill="FFFFFF"/>
            <w:lang w:val="en-GB" w:eastAsia="en-US"/>
          </w:rPr>
          <w:t>Française</w:t>
        </w:r>
        <w:proofErr w:type="spellEnd"/>
        <w:r w:rsidRPr="0064312C">
          <w:rPr>
            <w:rFonts w:ascii="Arial" w:eastAsia="Calibri" w:hAnsi="Arial" w:cs="Arial"/>
            <w:color w:val="ED1C2E"/>
            <w:sz w:val="18"/>
            <w:szCs w:val="18"/>
            <w:shd w:val="clear" w:color="auto" w:fill="FFFFFF"/>
            <w:lang w:val="en-GB" w:eastAsia="en-US"/>
          </w:rPr>
          <w:t xml:space="preserve"> de </w:t>
        </w:r>
        <w:proofErr w:type="spellStart"/>
        <w:r w:rsidRPr="0064312C">
          <w:rPr>
            <w:rFonts w:ascii="Arial" w:eastAsia="Calibri" w:hAnsi="Arial" w:cs="Arial"/>
            <w:color w:val="ED1C2E"/>
            <w:sz w:val="18"/>
            <w:szCs w:val="18"/>
            <w:shd w:val="clear" w:color="auto" w:fill="FFFFFF"/>
            <w:lang w:val="en-GB" w:eastAsia="en-US"/>
          </w:rPr>
          <w:t>Développement</w:t>
        </w:r>
        <w:proofErr w:type="spellEnd"/>
      </w:hyperlink>
      <w:r w:rsidRPr="0064312C">
        <w:rPr>
          <w:rFonts w:ascii="Arial" w:eastAsia="Calibri" w:hAnsi="Arial" w:cs="Arial"/>
          <w:color w:val="ED1C2E"/>
          <w:sz w:val="18"/>
          <w:szCs w:val="18"/>
          <w:shd w:val="clear" w:color="auto" w:fill="FFFFFF"/>
          <w:lang w:val="en-GB" w:eastAsia="en-US"/>
        </w:rPr>
        <w:t xml:space="preserve">, </w:t>
      </w:r>
      <w:hyperlink r:id="rId16" w:tgtFrame="_blank" w:history="1">
        <w:r w:rsidRPr="0064312C">
          <w:rPr>
            <w:rFonts w:ascii="Arial" w:eastAsia="Calibri" w:hAnsi="Arial" w:cs="Arial"/>
            <w:color w:val="ED1C2E"/>
            <w:sz w:val="18"/>
            <w:szCs w:val="18"/>
            <w:shd w:val="clear" w:color="auto" w:fill="FFFFFF"/>
            <w:lang w:val="en-GB" w:eastAsia="en-US"/>
          </w:rPr>
          <w:t>Conservation International</w:t>
        </w:r>
      </w:hyperlink>
      <w:r w:rsidRPr="0064312C">
        <w:rPr>
          <w:rFonts w:ascii="Arial" w:eastAsia="Calibri" w:hAnsi="Arial" w:cs="Arial"/>
          <w:color w:val="ED1C2E"/>
          <w:sz w:val="18"/>
          <w:szCs w:val="18"/>
          <w:shd w:val="clear" w:color="auto" w:fill="FFFFFF"/>
          <w:lang w:val="en-GB" w:eastAsia="en-US"/>
        </w:rPr>
        <w:t xml:space="preserve">, the </w:t>
      </w:r>
      <w:hyperlink r:id="rId17" w:tgtFrame="_blank" w:history="1">
        <w:r w:rsidRPr="0064312C">
          <w:rPr>
            <w:rFonts w:ascii="Arial" w:eastAsia="Calibri" w:hAnsi="Arial" w:cs="Arial"/>
            <w:color w:val="ED1C2E"/>
            <w:sz w:val="18"/>
            <w:szCs w:val="18"/>
            <w:shd w:val="clear" w:color="auto" w:fill="FFFFFF"/>
            <w:lang w:val="en-GB" w:eastAsia="en-US"/>
          </w:rPr>
          <w:t>European Union</w:t>
        </w:r>
      </w:hyperlink>
      <w:r w:rsidRPr="0064312C">
        <w:rPr>
          <w:rFonts w:ascii="Arial" w:eastAsia="Calibri" w:hAnsi="Arial" w:cs="Arial"/>
          <w:color w:val="ED1C2E"/>
          <w:sz w:val="18"/>
          <w:szCs w:val="18"/>
          <w:shd w:val="clear" w:color="auto" w:fill="FFFFFF"/>
          <w:lang w:val="en-GB" w:eastAsia="en-US"/>
        </w:rPr>
        <w:t xml:space="preserve">, the </w:t>
      </w:r>
      <w:hyperlink r:id="rId18" w:tgtFrame="_blank" w:history="1">
        <w:r w:rsidRPr="0064312C">
          <w:rPr>
            <w:rFonts w:ascii="Arial" w:eastAsia="Calibri" w:hAnsi="Arial" w:cs="Arial"/>
            <w:color w:val="ED1C2E"/>
            <w:sz w:val="18"/>
            <w:szCs w:val="18"/>
            <w:shd w:val="clear" w:color="auto" w:fill="FFFFFF"/>
            <w:lang w:val="en-GB" w:eastAsia="en-US"/>
          </w:rPr>
          <w:t>Global Environment Facility</w:t>
        </w:r>
      </w:hyperlink>
      <w:r w:rsidRPr="0064312C">
        <w:rPr>
          <w:rFonts w:ascii="Arial" w:eastAsia="Calibri" w:hAnsi="Arial" w:cs="Arial"/>
          <w:color w:val="ED1C2E"/>
          <w:sz w:val="18"/>
          <w:szCs w:val="18"/>
          <w:shd w:val="clear" w:color="auto" w:fill="FFFFFF"/>
          <w:lang w:val="en-GB" w:eastAsia="en-US"/>
        </w:rPr>
        <w:t xml:space="preserve">, the Government of Japan, the </w:t>
      </w:r>
      <w:hyperlink r:id="rId19" w:tgtFrame="_blank" w:history="1">
        <w:r w:rsidRPr="0064312C">
          <w:rPr>
            <w:rFonts w:ascii="Arial" w:eastAsia="Calibri" w:hAnsi="Arial" w:cs="Arial"/>
            <w:color w:val="ED1C2E"/>
            <w:sz w:val="18"/>
            <w:szCs w:val="18"/>
            <w:shd w:val="clear" w:color="auto" w:fill="FFFFFF"/>
            <w:lang w:val="en-GB" w:eastAsia="en-US"/>
          </w:rPr>
          <w:t>MacArthur Foundation</w:t>
        </w:r>
      </w:hyperlink>
      <w:r w:rsidRPr="0064312C">
        <w:rPr>
          <w:rFonts w:ascii="Calibri" w:eastAsia="Calibri" w:hAnsi="Calibri" w:cs="Times New Roman"/>
          <w:sz w:val="22"/>
          <w:lang w:val="en-GB" w:eastAsia="en-US"/>
        </w:rPr>
        <w:t xml:space="preserve"> </w:t>
      </w:r>
      <w:r w:rsidRPr="0064312C">
        <w:rPr>
          <w:rFonts w:ascii="Arial" w:eastAsia="Calibri" w:hAnsi="Arial" w:cs="Arial"/>
          <w:color w:val="ED1C2E"/>
          <w:sz w:val="18"/>
          <w:szCs w:val="18"/>
          <w:shd w:val="clear" w:color="auto" w:fill="FFFFFF"/>
          <w:lang w:val="en-GB" w:eastAsia="en-US"/>
        </w:rPr>
        <w:t xml:space="preserve">and the </w:t>
      </w:r>
      <w:hyperlink r:id="rId20" w:tgtFrame="_blank" w:history="1">
        <w:r w:rsidRPr="0064312C">
          <w:rPr>
            <w:rFonts w:ascii="Arial" w:eastAsia="Calibri" w:hAnsi="Arial" w:cs="Arial"/>
            <w:color w:val="ED1C2E"/>
            <w:sz w:val="18"/>
            <w:szCs w:val="18"/>
            <w:shd w:val="clear" w:color="auto" w:fill="FFFFFF"/>
            <w:lang w:val="en-GB" w:eastAsia="en-US"/>
          </w:rPr>
          <w:t>World Bank</w:t>
        </w:r>
      </w:hyperlink>
      <w:r w:rsidRPr="0064312C">
        <w:rPr>
          <w:rFonts w:ascii="Arial" w:eastAsia="Calibri" w:hAnsi="Arial" w:cs="Arial"/>
          <w:color w:val="ED1C2E"/>
          <w:sz w:val="18"/>
          <w:szCs w:val="18"/>
          <w:shd w:val="clear" w:color="auto" w:fill="FFFFFF"/>
          <w:lang w:val="en-GB" w:eastAsia="en-US"/>
        </w:rPr>
        <w:t>.</w:t>
      </w:r>
    </w:p>
    <w:p w:rsidR="00A86191" w:rsidRDefault="00A86191" w:rsidP="00FF3E8B">
      <w:pPr>
        <w:pStyle w:val="Heading2"/>
        <w:sectPr w:rsidR="00A86191" w:rsidSect="00A86191">
          <w:type w:val="continuous"/>
          <w:pgSz w:w="11906" w:h="16838"/>
          <w:pgMar w:top="1134" w:right="1134" w:bottom="1247" w:left="1247" w:header="709" w:footer="567" w:gutter="0"/>
          <w:cols w:num="2" w:space="708"/>
          <w:titlePg/>
          <w:docGrid w:linePitch="360"/>
        </w:sectPr>
      </w:pPr>
    </w:p>
    <w:p w:rsidR="0064312C" w:rsidRDefault="0064312C" w:rsidP="00FF3E8B">
      <w:pPr>
        <w:pStyle w:val="Heading2"/>
      </w:pPr>
    </w:p>
    <w:p w:rsidR="00FF3E8B" w:rsidRDefault="00FF3E8B" w:rsidP="00FF3E8B">
      <w:pPr>
        <w:pStyle w:val="Heading2"/>
      </w:pPr>
      <w:r>
        <w:t>References</w:t>
      </w:r>
    </w:p>
    <w:p w:rsidR="00FF3E8B" w:rsidRDefault="00FF3E8B" w:rsidP="00FF3E8B">
      <w:proofErr w:type="gramStart"/>
      <w:r>
        <w:t>Bolton B. 1994.</w:t>
      </w:r>
      <w:proofErr w:type="gramEnd"/>
      <w:r>
        <w:t xml:space="preserve"> </w:t>
      </w:r>
      <w:proofErr w:type="gramStart"/>
      <w:r>
        <w:t>Identification Guide to the Ant Genera of the World, Harvard University Press.</w:t>
      </w:r>
      <w:proofErr w:type="gramEnd"/>
    </w:p>
    <w:p w:rsidR="00FF3E8B" w:rsidRDefault="00FF3E8B" w:rsidP="00FF3E8B">
      <w:r>
        <w:t xml:space="preserve">Gruber MAM. 2012. Report to the Taupulega of Atafu and EDNRE of Tokelau on the status of the yellow crazy ant invasion in Atafu in September 2012. </w:t>
      </w:r>
      <w:proofErr w:type="gramStart"/>
      <w:r>
        <w:t>Unpublished report for Tokelau Administration.</w:t>
      </w:r>
      <w:proofErr w:type="gramEnd"/>
    </w:p>
    <w:p w:rsidR="00FF3E8B" w:rsidRDefault="00FF3E8B" w:rsidP="00FF3E8B">
      <w:r>
        <w:t xml:space="preserve">Pierce RJ, Gruber MAM, Atherton J, </w:t>
      </w:r>
      <w:proofErr w:type="spellStart"/>
      <w:r>
        <w:t>Burne</w:t>
      </w:r>
      <w:proofErr w:type="spellEnd"/>
      <w:r>
        <w:t xml:space="preserve"> A, </w:t>
      </w:r>
      <w:proofErr w:type="spellStart"/>
      <w:r>
        <w:t>Valu</w:t>
      </w:r>
      <w:proofErr w:type="spellEnd"/>
      <w:r>
        <w:t xml:space="preserve"> M, Whistler A. 2012. </w:t>
      </w:r>
      <w:proofErr w:type="gramStart"/>
      <w:r>
        <w:t>Conservation Survey of Tokelau.</w:t>
      </w:r>
      <w:proofErr w:type="gramEnd"/>
      <w:r>
        <w:t xml:space="preserve"> Unpublished report for Tokelau Administration and Conservation International</w:t>
      </w:r>
    </w:p>
    <w:p w:rsidR="00FF3E8B" w:rsidRDefault="00FF3E8B" w:rsidP="00FF3E8B">
      <w:proofErr w:type="spellStart"/>
      <w:r>
        <w:t>Sarnat</w:t>
      </w:r>
      <w:proofErr w:type="spellEnd"/>
      <w:r>
        <w:t xml:space="preserve"> E. 2008. </w:t>
      </w:r>
      <w:proofErr w:type="spellStart"/>
      <w:r>
        <w:t>PIAkey</w:t>
      </w:r>
      <w:proofErr w:type="spellEnd"/>
      <w:r>
        <w:t xml:space="preserve">: Identification guide to invasive ants of the Pacific Islands, Edition 2, </w:t>
      </w:r>
      <w:proofErr w:type="gramStart"/>
      <w:r>
        <w:t>Lucid</w:t>
      </w:r>
      <w:proofErr w:type="gramEnd"/>
      <w:r>
        <w:t xml:space="preserve"> version 3.4. </w:t>
      </w:r>
      <w:proofErr w:type="spellStart"/>
      <w:proofErr w:type="gramStart"/>
      <w:r>
        <w:t>USDA</w:t>
      </w:r>
      <w:proofErr w:type="spellEnd"/>
      <w:r>
        <w:t>/APHIS/</w:t>
      </w:r>
      <w:proofErr w:type="spellStart"/>
      <w:r>
        <w:t>PPQ</w:t>
      </w:r>
      <w:proofErr w:type="spellEnd"/>
      <w:r>
        <w:t xml:space="preserve"> </w:t>
      </w:r>
      <w:proofErr w:type="spellStart"/>
      <w:r>
        <w:t>Center</w:t>
      </w:r>
      <w:proofErr w:type="spellEnd"/>
      <w:r>
        <w:t xml:space="preserve"> for Plant Health Science and Technology and University of California - Davis.</w:t>
      </w:r>
      <w:proofErr w:type="gramEnd"/>
      <w:r>
        <w:t xml:space="preserve"> Website http://itp.lucidcentral.org/id/ant/pia/</w:t>
      </w:r>
    </w:p>
    <w:p w:rsidR="00FF3E8B" w:rsidRDefault="00FF3E8B" w:rsidP="00FF3E8B">
      <w:proofErr w:type="spellStart"/>
      <w:proofErr w:type="gramStart"/>
      <w:r>
        <w:t>Wetterer</w:t>
      </w:r>
      <w:proofErr w:type="spellEnd"/>
      <w:r>
        <w:t xml:space="preserve"> </w:t>
      </w:r>
      <w:proofErr w:type="spellStart"/>
      <w:r>
        <w:t>JK</w:t>
      </w:r>
      <w:proofErr w:type="spellEnd"/>
      <w:r>
        <w:t>.</w:t>
      </w:r>
      <w:proofErr w:type="gramEnd"/>
      <w:r>
        <w:t xml:space="preserve"> 2007. Biology and Impacts of Pacific Island Invasive Species. 3. The African Big-Headed Ant, </w:t>
      </w:r>
      <w:proofErr w:type="spellStart"/>
      <w:r w:rsidRPr="004F1EA2">
        <w:rPr>
          <w:i/>
        </w:rPr>
        <w:t>Pheidole</w:t>
      </w:r>
      <w:proofErr w:type="spellEnd"/>
      <w:r w:rsidRPr="004F1EA2">
        <w:rPr>
          <w:i/>
        </w:rPr>
        <w:t xml:space="preserve"> </w:t>
      </w:r>
      <w:proofErr w:type="spellStart"/>
      <w:r w:rsidRPr="004F1EA2">
        <w:rPr>
          <w:i/>
        </w:rPr>
        <w:t>megacep</w:t>
      </w:r>
      <w:r>
        <w:t>hala</w:t>
      </w:r>
      <w:proofErr w:type="spellEnd"/>
      <w:r>
        <w:t xml:space="preserve"> (Hymenoptera: </w:t>
      </w:r>
      <w:proofErr w:type="spellStart"/>
      <w:r>
        <w:t>Formicidae</w:t>
      </w:r>
      <w:proofErr w:type="spellEnd"/>
      <w:r>
        <w:t xml:space="preserve">). Pacific Science October </w:t>
      </w:r>
      <w:proofErr w:type="gramStart"/>
      <w:r>
        <w:t>2007 :</w:t>
      </w:r>
      <w:proofErr w:type="gramEnd"/>
      <w:r>
        <w:t xml:space="preserve"> Vol. 61, Issue 4 (Oct 2007), </w:t>
      </w:r>
      <w:proofErr w:type="spellStart"/>
      <w:r>
        <w:t>pg</w:t>
      </w:r>
      <w:proofErr w:type="spellEnd"/>
      <w:r>
        <w:t>(s) 437-456</w:t>
      </w:r>
    </w:p>
    <w:p w:rsidR="00FF3E8B" w:rsidRDefault="00FF3E8B" w:rsidP="00FF3E8B">
      <w:pPr>
        <w:rPr>
          <w:rFonts w:ascii="Helvetica" w:eastAsiaTheme="majorEastAsia" w:hAnsi="Helvetica" w:cstheme="majorBidi"/>
          <w:b/>
          <w:bCs/>
          <w:color w:val="63B345"/>
          <w:sz w:val="28"/>
          <w:szCs w:val="28"/>
        </w:rPr>
      </w:pPr>
      <w:r>
        <w:br w:type="page"/>
      </w:r>
    </w:p>
    <w:p w:rsidR="00FF3E8B" w:rsidRDefault="00FF3E8B" w:rsidP="00FF3E8B">
      <w:pPr>
        <w:pStyle w:val="Heading1"/>
      </w:pPr>
      <w:r>
        <w:lastRenderedPageBreak/>
        <w:t>Appendix 1: Ant species collected by Ray Pierce in 2008</w:t>
      </w:r>
    </w:p>
    <w:p w:rsidR="00FF3E8B" w:rsidRDefault="00FF3E8B" w:rsidP="00FF3E8B">
      <w:r>
        <w:t xml:space="preserve">Ant Identification results – Kiritimati, Kiribati </w:t>
      </w:r>
    </w:p>
    <w:p w:rsidR="00FF3E8B" w:rsidRDefault="00FF3E8B" w:rsidP="00FF3E8B">
      <w:r>
        <w:t>(Collected – April 2008 by Ray Pierce)</w:t>
      </w:r>
    </w:p>
    <w:tbl>
      <w:tblPr>
        <w:tblW w:w="0" w:type="auto"/>
        <w:tblLayout w:type="fixed"/>
        <w:tblLook w:val="01E0" w:firstRow="1" w:lastRow="1" w:firstColumn="1" w:lastColumn="1" w:noHBand="0" w:noVBand="0"/>
      </w:tblPr>
      <w:tblGrid>
        <w:gridCol w:w="1101"/>
        <w:gridCol w:w="3260"/>
        <w:gridCol w:w="1276"/>
        <w:gridCol w:w="3969"/>
      </w:tblGrid>
      <w:tr w:rsidR="00FF3E8B" w:rsidTr="002A549F">
        <w:trPr>
          <w:trHeight w:val="530"/>
        </w:trPr>
        <w:tc>
          <w:tcPr>
            <w:tcW w:w="1101" w:type="dxa"/>
            <w:tcBorders>
              <w:top w:val="single" w:sz="4" w:space="0" w:color="auto"/>
              <w:bottom w:val="single" w:sz="4" w:space="0" w:color="auto"/>
            </w:tcBorders>
            <w:hideMark/>
          </w:tcPr>
          <w:p w:rsidR="00FF3E8B" w:rsidRDefault="00FF3E8B" w:rsidP="002A549F">
            <w:pPr>
              <w:spacing w:after="0" w:line="240" w:lineRule="auto"/>
              <w:rPr>
                <w:b/>
                <w:lang w:eastAsia="en-US"/>
              </w:rPr>
            </w:pPr>
            <w:r>
              <w:rPr>
                <w:b/>
              </w:rPr>
              <w:t>Sample</w:t>
            </w:r>
          </w:p>
        </w:tc>
        <w:tc>
          <w:tcPr>
            <w:tcW w:w="3260" w:type="dxa"/>
            <w:tcBorders>
              <w:top w:val="single" w:sz="4" w:space="0" w:color="auto"/>
              <w:bottom w:val="single" w:sz="4" w:space="0" w:color="auto"/>
            </w:tcBorders>
            <w:hideMark/>
          </w:tcPr>
          <w:p w:rsidR="00FF3E8B" w:rsidRDefault="00FF3E8B" w:rsidP="002A549F">
            <w:pPr>
              <w:spacing w:after="0" w:line="240" w:lineRule="auto"/>
              <w:rPr>
                <w:b/>
                <w:lang w:eastAsia="en-US"/>
              </w:rPr>
            </w:pPr>
            <w:r>
              <w:rPr>
                <w:b/>
              </w:rPr>
              <w:t>Location</w:t>
            </w:r>
          </w:p>
        </w:tc>
        <w:tc>
          <w:tcPr>
            <w:tcW w:w="1276" w:type="dxa"/>
            <w:tcBorders>
              <w:top w:val="single" w:sz="4" w:space="0" w:color="auto"/>
              <w:bottom w:val="single" w:sz="4" w:space="0" w:color="auto"/>
            </w:tcBorders>
            <w:hideMark/>
          </w:tcPr>
          <w:p w:rsidR="00FF3E8B" w:rsidRDefault="00FF3E8B" w:rsidP="002A549F">
            <w:pPr>
              <w:spacing w:after="0" w:line="240" w:lineRule="auto"/>
              <w:rPr>
                <w:b/>
                <w:lang w:eastAsia="en-US"/>
              </w:rPr>
            </w:pPr>
            <w:r>
              <w:rPr>
                <w:b/>
              </w:rPr>
              <w:t>Type</w:t>
            </w:r>
          </w:p>
        </w:tc>
        <w:tc>
          <w:tcPr>
            <w:tcW w:w="3969" w:type="dxa"/>
            <w:tcBorders>
              <w:top w:val="single" w:sz="4" w:space="0" w:color="auto"/>
              <w:bottom w:val="single" w:sz="4" w:space="0" w:color="auto"/>
            </w:tcBorders>
            <w:hideMark/>
          </w:tcPr>
          <w:p w:rsidR="00FF3E8B" w:rsidRDefault="00FF3E8B" w:rsidP="002A549F">
            <w:pPr>
              <w:spacing w:after="0" w:line="240" w:lineRule="auto"/>
              <w:rPr>
                <w:b/>
                <w:lang w:eastAsia="en-US"/>
              </w:rPr>
            </w:pPr>
            <w:r>
              <w:rPr>
                <w:b/>
              </w:rPr>
              <w:t>Identification</w:t>
            </w:r>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1</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Cassidy Airport Arrival building</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Sugar</w:t>
            </w:r>
          </w:p>
        </w:tc>
        <w:tc>
          <w:tcPr>
            <w:tcW w:w="3969" w:type="dxa"/>
            <w:tcBorders>
              <w:top w:val="single" w:sz="4" w:space="0" w:color="auto"/>
              <w:bottom w:val="single" w:sz="4" w:space="0" w:color="auto"/>
            </w:tcBorders>
            <w:hideMark/>
          </w:tcPr>
          <w:p w:rsidR="00FF3E8B" w:rsidRDefault="00FF3E8B" w:rsidP="002A549F">
            <w:pPr>
              <w:spacing w:after="0" w:line="240" w:lineRule="auto"/>
            </w:pPr>
            <w:proofErr w:type="spellStart"/>
            <w:r>
              <w:rPr>
                <w:i/>
              </w:rPr>
              <w:t>Monomorium</w:t>
            </w:r>
            <w:proofErr w:type="spellEnd"/>
            <w:r>
              <w:t xml:space="preserve"> sp. (</w:t>
            </w:r>
            <w:proofErr w:type="spellStart"/>
            <w:r>
              <w:t>Salomonis</w:t>
            </w:r>
            <w:proofErr w:type="spellEnd"/>
            <w:r>
              <w:t xml:space="preserve"> group)</w:t>
            </w:r>
          </w:p>
          <w:p w:rsidR="00FF3E8B" w:rsidRDefault="00FF3E8B" w:rsidP="002A549F">
            <w:pPr>
              <w:spacing w:after="0" w:line="240" w:lineRule="auto"/>
              <w:rPr>
                <w:lang w:eastAsia="en-US"/>
              </w:rPr>
            </w:pPr>
            <w:proofErr w:type="spellStart"/>
            <w:r>
              <w:rPr>
                <w:i/>
              </w:rPr>
              <w:t>Paratrechina</w:t>
            </w:r>
            <w:proofErr w:type="spellEnd"/>
            <w:r>
              <w:t xml:space="preserve"> sp.</w:t>
            </w:r>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2</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Cassidy Airport Arrival building</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Protein</w:t>
            </w:r>
          </w:p>
        </w:tc>
        <w:tc>
          <w:tcPr>
            <w:tcW w:w="3969" w:type="dxa"/>
            <w:tcBorders>
              <w:top w:val="single" w:sz="4" w:space="0" w:color="auto"/>
              <w:bottom w:val="single" w:sz="4" w:space="0" w:color="auto"/>
            </w:tcBorders>
          </w:tcPr>
          <w:p w:rsidR="00FF3E8B" w:rsidRDefault="00FF3E8B" w:rsidP="002A549F">
            <w:pPr>
              <w:spacing w:after="0" w:line="240" w:lineRule="auto"/>
            </w:pPr>
            <w:proofErr w:type="spellStart"/>
            <w:r>
              <w:rPr>
                <w:i/>
              </w:rPr>
              <w:t>Monomorium</w:t>
            </w:r>
            <w:proofErr w:type="spellEnd"/>
            <w:r>
              <w:t xml:space="preserve"> sp. (</w:t>
            </w:r>
            <w:proofErr w:type="spellStart"/>
            <w:r>
              <w:t>Salomonis</w:t>
            </w:r>
            <w:proofErr w:type="spellEnd"/>
            <w:r>
              <w:t xml:space="preserve"> group)</w:t>
            </w:r>
          </w:p>
          <w:p w:rsidR="00FF3E8B" w:rsidRDefault="00FF3E8B" w:rsidP="002A549F">
            <w:pPr>
              <w:spacing w:after="0" w:line="240" w:lineRule="auto"/>
              <w:rPr>
                <w:lang w:eastAsia="en-US"/>
              </w:rPr>
            </w:pPr>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3</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Cassidy Airport- Departure building</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Sugar</w:t>
            </w:r>
          </w:p>
        </w:tc>
        <w:tc>
          <w:tcPr>
            <w:tcW w:w="3969" w:type="dxa"/>
            <w:tcBorders>
              <w:top w:val="single" w:sz="4" w:space="0" w:color="auto"/>
              <w:bottom w:val="single" w:sz="4" w:space="0" w:color="auto"/>
            </w:tcBorders>
            <w:hideMark/>
          </w:tcPr>
          <w:p w:rsidR="00FF3E8B" w:rsidRDefault="00FF3E8B" w:rsidP="002A549F">
            <w:pPr>
              <w:spacing w:after="0" w:line="240" w:lineRule="auto"/>
            </w:pPr>
            <w:proofErr w:type="spellStart"/>
            <w:r>
              <w:rPr>
                <w:i/>
              </w:rPr>
              <w:t>Monomorium</w:t>
            </w:r>
            <w:proofErr w:type="spellEnd"/>
            <w:r>
              <w:t xml:space="preserve"> sp. (</w:t>
            </w:r>
            <w:proofErr w:type="spellStart"/>
            <w:r>
              <w:t>Salomonis</w:t>
            </w:r>
            <w:proofErr w:type="spellEnd"/>
            <w:r>
              <w:t xml:space="preserve"> group)</w:t>
            </w:r>
          </w:p>
          <w:p w:rsidR="00FF3E8B" w:rsidRDefault="00FF3E8B" w:rsidP="002A549F">
            <w:pPr>
              <w:spacing w:after="0" w:line="240" w:lineRule="auto"/>
              <w:rPr>
                <w:i/>
                <w:lang w:eastAsia="en-US"/>
              </w:rPr>
            </w:pPr>
            <w:r>
              <w:rPr>
                <w:i/>
              </w:rPr>
              <w:t>Pheidole megacephala</w:t>
            </w:r>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4</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Cassidy Airport- Departure building</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Protein</w:t>
            </w:r>
          </w:p>
        </w:tc>
        <w:tc>
          <w:tcPr>
            <w:tcW w:w="3969" w:type="dxa"/>
            <w:tcBorders>
              <w:top w:val="single" w:sz="4" w:space="0" w:color="auto"/>
              <w:bottom w:val="single" w:sz="4" w:space="0" w:color="auto"/>
            </w:tcBorders>
            <w:hideMark/>
          </w:tcPr>
          <w:p w:rsidR="00FF3E8B" w:rsidRDefault="00FF3E8B" w:rsidP="002A549F">
            <w:pPr>
              <w:spacing w:after="0" w:line="240" w:lineRule="auto"/>
            </w:pPr>
            <w:proofErr w:type="spellStart"/>
            <w:r>
              <w:rPr>
                <w:i/>
              </w:rPr>
              <w:t>Monomorium</w:t>
            </w:r>
            <w:proofErr w:type="spellEnd"/>
            <w:r>
              <w:t xml:space="preserve"> sp. (</w:t>
            </w:r>
            <w:proofErr w:type="spellStart"/>
            <w:r>
              <w:t>Salomonis</w:t>
            </w:r>
            <w:proofErr w:type="spellEnd"/>
            <w:r>
              <w:t xml:space="preserve"> group)</w:t>
            </w:r>
          </w:p>
          <w:p w:rsidR="00FF3E8B" w:rsidRDefault="00FF3E8B" w:rsidP="002A549F">
            <w:pPr>
              <w:spacing w:after="0" w:line="240" w:lineRule="auto"/>
              <w:rPr>
                <w:i/>
              </w:rPr>
            </w:pPr>
            <w:r>
              <w:rPr>
                <w:i/>
              </w:rPr>
              <w:t>Pheidole megacephala</w:t>
            </w:r>
          </w:p>
          <w:p w:rsidR="00FF3E8B" w:rsidRDefault="00FF3E8B" w:rsidP="002A549F">
            <w:pPr>
              <w:spacing w:after="0" w:line="240" w:lineRule="auto"/>
              <w:rPr>
                <w:lang w:eastAsia="en-US"/>
              </w:rPr>
            </w:pPr>
            <w:proofErr w:type="spellStart"/>
            <w:r>
              <w:rPr>
                <w:i/>
              </w:rPr>
              <w:t>Paratrechina</w:t>
            </w:r>
            <w:proofErr w:type="spellEnd"/>
            <w:r>
              <w:rPr>
                <w:i/>
              </w:rPr>
              <w:t xml:space="preserve"> </w:t>
            </w:r>
            <w:r>
              <w:t>sp.</w:t>
            </w:r>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5</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London wharf</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Sugar</w:t>
            </w:r>
          </w:p>
        </w:tc>
        <w:tc>
          <w:tcPr>
            <w:tcW w:w="3969" w:type="dxa"/>
            <w:tcBorders>
              <w:top w:val="single" w:sz="4" w:space="0" w:color="auto"/>
              <w:bottom w:val="single" w:sz="4" w:space="0" w:color="auto"/>
            </w:tcBorders>
            <w:hideMark/>
          </w:tcPr>
          <w:p w:rsidR="00FF3E8B" w:rsidRDefault="00FF3E8B" w:rsidP="002A549F">
            <w:pPr>
              <w:spacing w:after="0" w:line="240" w:lineRule="auto"/>
              <w:rPr>
                <w:i/>
              </w:rPr>
            </w:pPr>
            <w:r>
              <w:rPr>
                <w:i/>
              </w:rPr>
              <w:t>Pheidole megacephala</w:t>
            </w:r>
          </w:p>
          <w:p w:rsidR="00FF3E8B" w:rsidRDefault="00FF3E8B" w:rsidP="002A549F">
            <w:pPr>
              <w:spacing w:after="0" w:line="240" w:lineRule="auto"/>
              <w:rPr>
                <w:lang w:eastAsia="en-US"/>
              </w:rPr>
            </w:pPr>
            <w:proofErr w:type="spellStart"/>
            <w:r>
              <w:rPr>
                <w:i/>
              </w:rPr>
              <w:t>Paratrechina</w:t>
            </w:r>
            <w:proofErr w:type="spellEnd"/>
            <w:r>
              <w:rPr>
                <w:i/>
              </w:rPr>
              <w:t xml:space="preserve"> </w:t>
            </w:r>
            <w:r>
              <w:t>sp.</w:t>
            </w:r>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6</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London wharf</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Sugar</w:t>
            </w:r>
          </w:p>
        </w:tc>
        <w:tc>
          <w:tcPr>
            <w:tcW w:w="3969" w:type="dxa"/>
            <w:tcBorders>
              <w:top w:val="single" w:sz="4" w:space="0" w:color="auto"/>
              <w:bottom w:val="single" w:sz="4" w:space="0" w:color="auto"/>
            </w:tcBorders>
            <w:hideMark/>
          </w:tcPr>
          <w:p w:rsidR="00FF3E8B" w:rsidRDefault="00FF3E8B" w:rsidP="002A549F">
            <w:pPr>
              <w:spacing w:after="0" w:line="240" w:lineRule="auto"/>
              <w:rPr>
                <w:i/>
              </w:rPr>
            </w:pPr>
            <w:r>
              <w:rPr>
                <w:i/>
              </w:rPr>
              <w:t>Pheidole megacephala</w:t>
            </w:r>
          </w:p>
          <w:p w:rsidR="00FF3E8B" w:rsidRDefault="00FF3E8B" w:rsidP="002A549F">
            <w:pPr>
              <w:spacing w:after="0" w:line="240" w:lineRule="auto"/>
              <w:rPr>
                <w:lang w:eastAsia="en-US"/>
              </w:rPr>
            </w:pPr>
            <w:proofErr w:type="spellStart"/>
            <w:r>
              <w:rPr>
                <w:i/>
              </w:rPr>
              <w:t>Paratrechina</w:t>
            </w:r>
            <w:proofErr w:type="spellEnd"/>
            <w:r>
              <w:rPr>
                <w:i/>
              </w:rPr>
              <w:t xml:space="preserve"> </w:t>
            </w:r>
            <w:r>
              <w:t>sp.</w:t>
            </w:r>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7</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London wharf</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Protein</w:t>
            </w:r>
          </w:p>
        </w:tc>
        <w:tc>
          <w:tcPr>
            <w:tcW w:w="3969" w:type="dxa"/>
            <w:tcBorders>
              <w:top w:val="single" w:sz="4" w:space="0" w:color="auto"/>
              <w:bottom w:val="single" w:sz="4" w:space="0" w:color="auto"/>
            </w:tcBorders>
            <w:hideMark/>
          </w:tcPr>
          <w:p w:rsidR="00FF3E8B" w:rsidRDefault="00FF3E8B" w:rsidP="002A549F">
            <w:pPr>
              <w:spacing w:after="0" w:line="240" w:lineRule="auto"/>
              <w:rPr>
                <w:i/>
              </w:rPr>
            </w:pPr>
            <w:proofErr w:type="spellStart"/>
            <w:r>
              <w:rPr>
                <w:i/>
              </w:rPr>
              <w:t>Tetramorium</w:t>
            </w:r>
            <w:proofErr w:type="spellEnd"/>
            <w:r>
              <w:rPr>
                <w:i/>
              </w:rPr>
              <w:t xml:space="preserve"> </w:t>
            </w:r>
            <w:proofErr w:type="spellStart"/>
            <w:r>
              <w:rPr>
                <w:i/>
              </w:rPr>
              <w:t>similimum</w:t>
            </w:r>
            <w:proofErr w:type="spellEnd"/>
          </w:p>
          <w:p w:rsidR="00FF3E8B" w:rsidRDefault="00FF3E8B" w:rsidP="002A549F">
            <w:pPr>
              <w:spacing w:after="0" w:line="240" w:lineRule="auto"/>
              <w:rPr>
                <w:lang w:eastAsia="en-US"/>
              </w:rPr>
            </w:pPr>
            <w:r>
              <w:rPr>
                <w:i/>
              </w:rPr>
              <w:t>Pheidole megacephala</w:t>
            </w:r>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8</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London wharf</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Protein</w:t>
            </w:r>
          </w:p>
        </w:tc>
        <w:tc>
          <w:tcPr>
            <w:tcW w:w="3969" w:type="dxa"/>
            <w:tcBorders>
              <w:top w:val="single" w:sz="4" w:space="0" w:color="auto"/>
              <w:bottom w:val="single" w:sz="4" w:space="0" w:color="auto"/>
            </w:tcBorders>
            <w:hideMark/>
          </w:tcPr>
          <w:p w:rsidR="00FF3E8B" w:rsidRDefault="00FF3E8B" w:rsidP="002A549F">
            <w:pPr>
              <w:spacing w:after="0" w:line="240" w:lineRule="auto"/>
              <w:rPr>
                <w:lang w:eastAsia="en-US"/>
              </w:rPr>
            </w:pPr>
            <w:r>
              <w:rPr>
                <w:i/>
              </w:rPr>
              <w:t>Pheidole megacephala</w:t>
            </w:r>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9</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Cassidy Airport Arrival building</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Single ant</w:t>
            </w:r>
          </w:p>
        </w:tc>
        <w:tc>
          <w:tcPr>
            <w:tcW w:w="3969" w:type="dxa"/>
            <w:tcBorders>
              <w:top w:val="single" w:sz="4" w:space="0" w:color="auto"/>
              <w:bottom w:val="single" w:sz="4" w:space="0" w:color="auto"/>
            </w:tcBorders>
            <w:hideMark/>
          </w:tcPr>
          <w:p w:rsidR="00FF3E8B" w:rsidRDefault="00FF3E8B" w:rsidP="002A549F">
            <w:pPr>
              <w:spacing w:after="0" w:line="240" w:lineRule="auto"/>
              <w:rPr>
                <w:i/>
                <w:lang w:eastAsia="en-US"/>
              </w:rPr>
            </w:pPr>
            <w:proofErr w:type="spellStart"/>
            <w:r>
              <w:rPr>
                <w:i/>
              </w:rPr>
              <w:t>Camponotus</w:t>
            </w:r>
            <w:proofErr w:type="spellEnd"/>
            <w:r>
              <w:rPr>
                <w:i/>
              </w:rPr>
              <w:t xml:space="preserve"> </w:t>
            </w:r>
            <w:proofErr w:type="spellStart"/>
            <w:r>
              <w:rPr>
                <w:i/>
              </w:rPr>
              <w:t>variegatus</w:t>
            </w:r>
            <w:proofErr w:type="spellEnd"/>
          </w:p>
        </w:tc>
      </w:tr>
      <w:tr w:rsidR="00FF3E8B" w:rsidTr="002A549F">
        <w:tc>
          <w:tcPr>
            <w:tcW w:w="1101" w:type="dxa"/>
            <w:tcBorders>
              <w:top w:val="single" w:sz="4" w:space="0" w:color="auto"/>
              <w:bottom w:val="single" w:sz="4" w:space="0" w:color="auto"/>
            </w:tcBorders>
            <w:hideMark/>
          </w:tcPr>
          <w:p w:rsidR="00FF3E8B" w:rsidRDefault="00FF3E8B" w:rsidP="002A549F">
            <w:pPr>
              <w:spacing w:after="0" w:line="240" w:lineRule="auto"/>
              <w:rPr>
                <w:lang w:eastAsia="en-US"/>
              </w:rPr>
            </w:pPr>
            <w:r>
              <w:t>10</w:t>
            </w:r>
          </w:p>
        </w:tc>
        <w:tc>
          <w:tcPr>
            <w:tcW w:w="3260" w:type="dxa"/>
            <w:tcBorders>
              <w:top w:val="single" w:sz="4" w:space="0" w:color="auto"/>
              <w:bottom w:val="single" w:sz="4" w:space="0" w:color="auto"/>
            </w:tcBorders>
            <w:hideMark/>
          </w:tcPr>
          <w:p w:rsidR="00FF3E8B" w:rsidRDefault="00FF3E8B" w:rsidP="002A549F">
            <w:pPr>
              <w:spacing w:after="0" w:line="240" w:lineRule="auto"/>
              <w:rPr>
                <w:lang w:eastAsia="en-US"/>
              </w:rPr>
            </w:pPr>
            <w:r>
              <w:t>Wild life conservation unit building</w:t>
            </w:r>
          </w:p>
        </w:tc>
        <w:tc>
          <w:tcPr>
            <w:tcW w:w="1276" w:type="dxa"/>
            <w:tcBorders>
              <w:top w:val="single" w:sz="4" w:space="0" w:color="auto"/>
              <w:bottom w:val="single" w:sz="4" w:space="0" w:color="auto"/>
            </w:tcBorders>
            <w:hideMark/>
          </w:tcPr>
          <w:p w:rsidR="00FF3E8B" w:rsidRDefault="00FF3E8B" w:rsidP="002A549F">
            <w:pPr>
              <w:spacing w:after="0" w:line="240" w:lineRule="auto"/>
              <w:rPr>
                <w:lang w:eastAsia="en-US"/>
              </w:rPr>
            </w:pPr>
            <w:r>
              <w:t>Single ant</w:t>
            </w:r>
          </w:p>
        </w:tc>
        <w:tc>
          <w:tcPr>
            <w:tcW w:w="3969" w:type="dxa"/>
            <w:tcBorders>
              <w:top w:val="single" w:sz="4" w:space="0" w:color="auto"/>
              <w:bottom w:val="single" w:sz="4" w:space="0" w:color="auto"/>
            </w:tcBorders>
            <w:hideMark/>
          </w:tcPr>
          <w:p w:rsidR="00FF3E8B" w:rsidRDefault="00FF3E8B" w:rsidP="002A549F">
            <w:pPr>
              <w:spacing w:after="0" w:line="240" w:lineRule="auto"/>
              <w:rPr>
                <w:i/>
                <w:lang w:eastAsia="en-US"/>
              </w:rPr>
            </w:pPr>
            <w:proofErr w:type="spellStart"/>
            <w:r>
              <w:rPr>
                <w:i/>
              </w:rPr>
              <w:t>Camponotus</w:t>
            </w:r>
            <w:proofErr w:type="spellEnd"/>
            <w:r>
              <w:rPr>
                <w:i/>
              </w:rPr>
              <w:t xml:space="preserve"> </w:t>
            </w:r>
            <w:proofErr w:type="spellStart"/>
            <w:r>
              <w:rPr>
                <w:i/>
              </w:rPr>
              <w:t>variegatus</w:t>
            </w:r>
            <w:proofErr w:type="spellEnd"/>
          </w:p>
        </w:tc>
      </w:tr>
    </w:tbl>
    <w:p w:rsidR="00FF3E8B" w:rsidRDefault="00FF3E8B" w:rsidP="00FF3E8B"/>
    <w:p w:rsidR="00FF3E8B" w:rsidRDefault="00FF3E8B" w:rsidP="00FF3E8B">
      <w:r>
        <w:t xml:space="preserve">Identified by </w:t>
      </w:r>
      <w:proofErr w:type="spellStart"/>
      <w:r>
        <w:t>Disna</w:t>
      </w:r>
      <w:proofErr w:type="spellEnd"/>
      <w:r>
        <w:t xml:space="preserve"> </w:t>
      </w:r>
      <w:proofErr w:type="spellStart"/>
      <w:r>
        <w:t>Gunawardana</w:t>
      </w:r>
      <w:proofErr w:type="spellEnd"/>
      <w:r>
        <w:t xml:space="preserve"> </w:t>
      </w:r>
    </w:p>
    <w:p w:rsidR="00FF3E8B" w:rsidRDefault="00FF3E8B" w:rsidP="00FF3E8B">
      <w:r>
        <w:t>MAF IDC</w:t>
      </w:r>
    </w:p>
    <w:p w:rsidR="00FF3E8B" w:rsidRDefault="00FF3E8B" w:rsidP="00FF3E8B">
      <w:r>
        <w:t>Auckland</w:t>
      </w:r>
    </w:p>
    <w:p w:rsidR="00FF3E8B" w:rsidRDefault="00FF3E8B" w:rsidP="00FF3E8B">
      <w:r>
        <w:t>17 May 2008</w:t>
      </w:r>
    </w:p>
    <w:p w:rsidR="00FF3E8B" w:rsidRDefault="00FF3E8B" w:rsidP="00FF3E8B">
      <w:pPr>
        <w:spacing w:after="200" w:line="276" w:lineRule="auto"/>
        <w:rPr>
          <w:rFonts w:ascii="Helvetica" w:eastAsiaTheme="majorEastAsia" w:hAnsi="Helvetica" w:cstheme="majorBidi"/>
          <w:b/>
          <w:bCs/>
          <w:color w:val="63B345"/>
          <w:sz w:val="28"/>
          <w:szCs w:val="28"/>
        </w:rPr>
      </w:pPr>
      <w:r>
        <w:br w:type="page"/>
      </w:r>
    </w:p>
    <w:p w:rsidR="00FF3E8B" w:rsidRDefault="00FF3E8B" w:rsidP="00DA02E8">
      <w:pPr>
        <w:pStyle w:val="Heading1"/>
        <w:jc w:val="left"/>
      </w:pPr>
      <w:r>
        <w:lastRenderedPageBreak/>
        <w:t>Appendix 2: First response recommendations of Ray Pierce, Eco-Oceania</w:t>
      </w:r>
    </w:p>
    <w:p w:rsidR="00FF3E8B" w:rsidRDefault="00FF3E8B" w:rsidP="00FF3E8B">
      <w:pPr>
        <w:pStyle w:val="Heading2"/>
      </w:pPr>
      <w:r>
        <w:t>Yellow crazy ant first response Kiritimati March 2013</w:t>
      </w:r>
    </w:p>
    <w:p w:rsidR="00FF3E8B" w:rsidRDefault="00FF3E8B" w:rsidP="00FF3E8B">
      <w:r w:rsidRPr="00C92F47">
        <w:rPr>
          <w:i/>
        </w:rPr>
        <w:t>Anoplolepis gracilipes</w:t>
      </w:r>
      <w:r>
        <w:t xml:space="preserve"> was found during routine survey coordinated by Monica Gruber VUW at Kiritimati on 5 March 2013. The area of infestation was c.0.5 ha and centred on a </w:t>
      </w:r>
      <w:proofErr w:type="spellStart"/>
      <w:r>
        <w:t>K</w:t>
      </w:r>
      <w:r w:rsidR="00AD3055">
        <w:t>SC</w:t>
      </w:r>
      <w:proofErr w:type="spellEnd"/>
      <w:r>
        <w:t xml:space="preserve"> warehouse and 2 neighbouring properties – Commerce, and Water and Sanitation. Management began on 6 March and continued during the following week.</w:t>
      </w:r>
    </w:p>
    <w:p w:rsidR="00FF3E8B" w:rsidRDefault="00FF3E8B" w:rsidP="00FF3E8B">
      <w:r>
        <w:t>The following interim actions were discussed and agreed to be implemented by Agriculture on my departure 12 March.</w:t>
      </w:r>
    </w:p>
    <w:p w:rsidR="00FF3E8B" w:rsidRDefault="00FF3E8B" w:rsidP="00FF3E8B">
      <w:pPr>
        <w:pStyle w:val="ListParagraph"/>
        <w:numPr>
          <w:ilvl w:val="0"/>
          <w:numId w:val="1"/>
        </w:numPr>
      </w:pPr>
      <w:r>
        <w:t>Keep area secure – tape and signs</w:t>
      </w:r>
    </w:p>
    <w:p w:rsidR="00FF3E8B" w:rsidRDefault="00FF3E8B" w:rsidP="00FF3E8B">
      <w:pPr>
        <w:pStyle w:val="ListParagraph"/>
        <w:numPr>
          <w:ilvl w:val="0"/>
          <w:numId w:val="1"/>
        </w:numPr>
      </w:pPr>
      <w:r>
        <w:t>Rubbish – no collection, local incineration</w:t>
      </w:r>
    </w:p>
    <w:p w:rsidR="00FF3E8B" w:rsidRDefault="00FF3E8B" w:rsidP="00FF3E8B">
      <w:pPr>
        <w:pStyle w:val="ListParagraph"/>
        <w:numPr>
          <w:ilvl w:val="0"/>
          <w:numId w:val="1"/>
        </w:numPr>
      </w:pPr>
      <w:r>
        <w:t xml:space="preserve">Remind staff at Commerce, </w:t>
      </w:r>
      <w:proofErr w:type="spellStart"/>
      <w:r>
        <w:t>K</w:t>
      </w:r>
      <w:r w:rsidR="00AD3055">
        <w:t>SC</w:t>
      </w:r>
      <w:proofErr w:type="spellEnd"/>
      <w:r w:rsidR="00AD3055">
        <w:t xml:space="preserve"> warehouse</w:t>
      </w:r>
      <w:r>
        <w:t>, Water and Construction of need to keep area clear, no rubbish collected from properties</w:t>
      </w:r>
    </w:p>
    <w:p w:rsidR="00FF3E8B" w:rsidRDefault="00FF3E8B" w:rsidP="00FF3E8B">
      <w:pPr>
        <w:pStyle w:val="ListParagraph"/>
        <w:numPr>
          <w:ilvl w:val="0"/>
          <w:numId w:val="1"/>
        </w:numPr>
      </w:pPr>
      <w:r>
        <w:t xml:space="preserve">Search infestation area daily (or every 2nd day) </w:t>
      </w:r>
    </w:p>
    <w:p w:rsidR="00FF3E8B" w:rsidRDefault="00FF3E8B" w:rsidP="00FF3E8B">
      <w:pPr>
        <w:pStyle w:val="ListParagraph"/>
        <w:numPr>
          <w:ilvl w:val="0"/>
          <w:numId w:val="1"/>
        </w:numPr>
      </w:pPr>
      <w:r>
        <w:t xml:space="preserve">Treat all nests newly found – boiling water and/or </w:t>
      </w:r>
      <w:proofErr w:type="spellStart"/>
      <w:r>
        <w:t>hypersaline</w:t>
      </w:r>
      <w:proofErr w:type="spellEnd"/>
      <w:r>
        <w:t>, kill queens</w:t>
      </w:r>
    </w:p>
    <w:p w:rsidR="00FF3E8B" w:rsidRDefault="00FF3E8B" w:rsidP="00FF3E8B">
      <w:pPr>
        <w:pStyle w:val="ListParagraph"/>
        <w:numPr>
          <w:ilvl w:val="0"/>
          <w:numId w:val="1"/>
        </w:numPr>
      </w:pPr>
      <w:r>
        <w:t>GPS new nests</w:t>
      </w:r>
    </w:p>
    <w:p w:rsidR="00FF3E8B" w:rsidRDefault="00FF3E8B" w:rsidP="00FF3E8B">
      <w:pPr>
        <w:pStyle w:val="ListParagraph"/>
        <w:numPr>
          <w:ilvl w:val="0"/>
          <w:numId w:val="1"/>
        </w:numPr>
      </w:pPr>
      <w:r>
        <w:t>Check all nests until no further activity</w:t>
      </w:r>
    </w:p>
    <w:p w:rsidR="00FF3E8B" w:rsidRDefault="00FF3E8B" w:rsidP="00FF3E8B">
      <w:pPr>
        <w:pStyle w:val="ListParagraph"/>
        <w:numPr>
          <w:ilvl w:val="0"/>
          <w:numId w:val="1"/>
        </w:numPr>
      </w:pPr>
      <w:r>
        <w:t>Carefully move heavy equipment to side and treat any new nests</w:t>
      </w:r>
    </w:p>
    <w:p w:rsidR="00FF3E8B" w:rsidRDefault="00FF3E8B" w:rsidP="00FF3E8B">
      <w:pPr>
        <w:pStyle w:val="ListParagraph"/>
        <w:numPr>
          <w:ilvl w:val="0"/>
          <w:numId w:val="1"/>
        </w:numPr>
      </w:pPr>
      <w:r>
        <w:t xml:space="preserve">Search more widely </w:t>
      </w:r>
      <w:proofErr w:type="spellStart"/>
      <w:r>
        <w:t>Ronton</w:t>
      </w:r>
      <w:proofErr w:type="spellEnd"/>
      <w:r>
        <w:t xml:space="preserve"> </w:t>
      </w:r>
      <w:proofErr w:type="spellStart"/>
      <w:r>
        <w:t>etc</w:t>
      </w:r>
      <w:proofErr w:type="spellEnd"/>
      <w:r>
        <w:t xml:space="preserve">, rubbish, Noni bushes </w:t>
      </w:r>
    </w:p>
    <w:p w:rsidR="00FF3E8B" w:rsidRDefault="00FF3E8B" w:rsidP="00FF3E8B">
      <w:pPr>
        <w:pStyle w:val="ListParagraph"/>
        <w:numPr>
          <w:ilvl w:val="0"/>
          <w:numId w:val="1"/>
        </w:numPr>
      </w:pPr>
      <w:r>
        <w:t>Survey KOIL</w:t>
      </w:r>
    </w:p>
    <w:p w:rsidR="00FF3E8B" w:rsidRDefault="00FF3E8B" w:rsidP="00FF3E8B">
      <w:pPr>
        <w:pStyle w:val="ListParagraph"/>
        <w:numPr>
          <w:ilvl w:val="0"/>
          <w:numId w:val="1"/>
        </w:numPr>
      </w:pPr>
      <w:r>
        <w:t>Update LINNIX (now MLPID), Tarawa</w:t>
      </w:r>
    </w:p>
    <w:p w:rsidR="00FF3E8B" w:rsidRDefault="00FF3E8B" w:rsidP="00FF3E8B">
      <w:pPr>
        <w:pStyle w:val="ListParagraph"/>
        <w:numPr>
          <w:ilvl w:val="0"/>
          <w:numId w:val="1"/>
        </w:numPr>
      </w:pPr>
      <w:r>
        <w:t xml:space="preserve">Update table for Ray/Monica </w:t>
      </w:r>
      <w:proofErr w:type="spellStart"/>
      <w:r>
        <w:t>etc</w:t>
      </w:r>
      <w:proofErr w:type="spellEnd"/>
    </w:p>
    <w:p w:rsidR="00FF3E8B" w:rsidRDefault="00FF3E8B" w:rsidP="00FF3E8B">
      <w:pPr>
        <w:pStyle w:val="ListParagraph"/>
        <w:numPr>
          <w:ilvl w:val="0"/>
          <w:numId w:val="1"/>
        </w:numPr>
      </w:pPr>
      <w:r>
        <w:t>Post small red ants to Monica</w:t>
      </w:r>
    </w:p>
    <w:p w:rsidR="00FF3E8B" w:rsidRDefault="00FF3E8B" w:rsidP="00FF3E8B">
      <w:pPr>
        <w:pStyle w:val="ListParagraph"/>
        <w:numPr>
          <w:ilvl w:val="0"/>
          <w:numId w:val="1"/>
        </w:numPr>
      </w:pPr>
      <w:r>
        <w:t>Apply for emergency funds (Ray and Monica to lead)</w:t>
      </w:r>
    </w:p>
    <w:p w:rsidR="00FF3E8B" w:rsidRDefault="00FF3E8B" w:rsidP="00FF3E8B">
      <w:pPr>
        <w:pStyle w:val="ListParagraph"/>
        <w:numPr>
          <w:ilvl w:val="0"/>
          <w:numId w:val="1"/>
        </w:numPr>
      </w:pPr>
      <w:r>
        <w:t>Update media</w:t>
      </w:r>
    </w:p>
    <w:p w:rsidR="00FF3E8B" w:rsidRDefault="00FF3E8B" w:rsidP="00FF3E8B"/>
    <w:p w:rsidR="00FF3E8B" w:rsidRDefault="00FF3E8B" w:rsidP="00FF3E8B">
      <w:r>
        <w:t xml:space="preserve">Ray Pierce </w:t>
      </w:r>
    </w:p>
    <w:p w:rsidR="00FF3E8B" w:rsidRDefault="00FF3E8B" w:rsidP="00964F1C">
      <w:r>
        <w:t>15 March 2013</w:t>
      </w:r>
      <w:bookmarkStart w:id="0" w:name="_GoBack"/>
      <w:bookmarkEnd w:id="0"/>
    </w:p>
    <w:p w:rsidR="00B67376" w:rsidRDefault="00B67376" w:rsidP="00B67376"/>
    <w:sectPr w:rsidR="00B67376" w:rsidSect="00A86191">
      <w:type w:val="continuous"/>
      <w:pgSz w:w="11906" w:h="16838"/>
      <w:pgMar w:top="1134" w:right="1134" w:bottom="1247" w:left="124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820" w:rsidRDefault="00F13820" w:rsidP="00F46591">
      <w:pPr>
        <w:spacing w:after="0" w:line="240" w:lineRule="auto"/>
      </w:pPr>
      <w:r>
        <w:separator/>
      </w:r>
    </w:p>
  </w:endnote>
  <w:endnote w:type="continuationSeparator" w:id="0">
    <w:p w:rsidR="00F13820" w:rsidRDefault="00F13820" w:rsidP="00F4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031255"/>
      <w:docPartObj>
        <w:docPartGallery w:val="Page Numbers (Bottom of Page)"/>
        <w:docPartUnique/>
      </w:docPartObj>
    </w:sdtPr>
    <w:sdtContent>
      <w:p w:rsidR="00F13820" w:rsidRDefault="00F13820" w:rsidP="00964F1C">
        <w:pPr>
          <w:pStyle w:val="Footer"/>
          <w:jc w:val="right"/>
        </w:pPr>
        <w:r>
          <w:rPr>
            <w:noProof/>
            <w:lang w:eastAsia="en-NZ"/>
          </w:rPr>
          <w:drawing>
            <wp:anchor distT="0" distB="0" distL="114300" distR="114300" simplePos="0" relativeHeight="251669504" behindDoc="0" locked="0" layoutInCell="1" allowOverlap="1" wp14:anchorId="55CCB54A" wp14:editId="2953CAC0">
              <wp:simplePos x="0" y="0"/>
              <wp:positionH relativeFrom="margin">
                <wp:posOffset>-60960</wp:posOffset>
              </wp:positionH>
              <wp:positionV relativeFrom="margin">
                <wp:posOffset>9255125</wp:posOffset>
              </wp:positionV>
              <wp:extent cx="868680" cy="499110"/>
              <wp:effectExtent l="0" t="0" r="7620" b="0"/>
              <wp:wrapSquare wrapText="bothSides"/>
              <wp:docPr id="30" name="Picture 30" descr="C:\Users\Josh\Desktop\Biosecurity\Leaf_for_Heade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h\Desktop\Biosecurity\Leaf_for_HeaderFoot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68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Page | </w:t>
        </w:r>
        <w:r>
          <w:fldChar w:fldCharType="begin"/>
        </w:r>
        <w:r>
          <w:instrText xml:space="preserve"> PAGE   \* MERGEFORMAT </w:instrText>
        </w:r>
        <w:r>
          <w:fldChar w:fldCharType="separate"/>
        </w:r>
        <w:r w:rsidR="00AD3055">
          <w:rPr>
            <w:noProof/>
          </w:rPr>
          <w:t>6</w:t>
        </w:r>
        <w:r>
          <w:rPr>
            <w:noProof/>
          </w:rPr>
          <w:fldChar w:fldCharType="end"/>
        </w:r>
        <w: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823953"/>
      <w:docPartObj>
        <w:docPartGallery w:val="Page Numbers (Bottom of Page)"/>
        <w:docPartUnique/>
      </w:docPartObj>
    </w:sdtPr>
    <w:sdtContent>
      <w:p w:rsidR="00F13820" w:rsidRDefault="00F13820" w:rsidP="00964F1C">
        <w:pPr>
          <w:pStyle w:val="Footer"/>
          <w:jc w:val="right"/>
        </w:pPr>
        <w:r>
          <w:t xml:space="preserve">Page | </w:t>
        </w:r>
        <w:r>
          <w:fldChar w:fldCharType="begin"/>
        </w:r>
        <w:r>
          <w:instrText xml:space="preserve"> PAGE   \* MERGEFORMAT </w:instrText>
        </w:r>
        <w:r>
          <w:fldChar w:fldCharType="separate"/>
        </w:r>
        <w:r w:rsidR="00AD305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820" w:rsidRDefault="00F13820" w:rsidP="00F46591">
      <w:pPr>
        <w:spacing w:after="0" w:line="240" w:lineRule="auto"/>
      </w:pPr>
      <w:r>
        <w:separator/>
      </w:r>
    </w:p>
  </w:footnote>
  <w:footnote w:type="continuationSeparator" w:id="0">
    <w:p w:rsidR="00F13820" w:rsidRDefault="00F13820" w:rsidP="00F46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20" w:rsidRDefault="00F13820" w:rsidP="00B67376">
    <w:pPr>
      <w:pStyle w:val="Header"/>
      <w:tabs>
        <w:tab w:val="left" w:pos="2580"/>
        <w:tab w:val="left" w:pos="2985"/>
      </w:tabs>
      <w:ind w:right="-46" w:firstLine="1440"/>
      <w:jc w:val="right"/>
      <w:rPr>
        <w:b/>
        <w:bCs/>
        <w:noProof/>
        <w:color w:val="63B345"/>
      </w:rPr>
    </w:pPr>
    <w:r w:rsidRPr="00EF00DD">
      <w:rPr>
        <w:b/>
        <w:bCs/>
        <w:noProof/>
        <w:color w:val="63B345"/>
        <w:lang w:eastAsia="en-NZ"/>
      </w:rPr>
      <w:drawing>
        <wp:anchor distT="0" distB="0" distL="114300" distR="114300" simplePos="0" relativeHeight="251671552" behindDoc="0" locked="0" layoutInCell="1" allowOverlap="1" wp14:anchorId="0E95ECB0" wp14:editId="28A5D39C">
          <wp:simplePos x="0" y="0"/>
          <wp:positionH relativeFrom="margin">
            <wp:posOffset>-426720</wp:posOffset>
          </wp:positionH>
          <wp:positionV relativeFrom="margin">
            <wp:posOffset>-1142365</wp:posOffset>
          </wp:positionV>
          <wp:extent cx="2955290" cy="904875"/>
          <wp:effectExtent l="0" t="0" r="0" b="0"/>
          <wp:wrapSquare wrapText="bothSides"/>
          <wp:docPr id="31" name="Picture 31" descr="C:\Users\Josh\Desktop\Biosecurity\Fina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Desktop\Biosecurity\Final Logo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5290" cy="904875"/>
                  </a:xfrm>
                  <a:prstGeom prst="rect">
                    <a:avLst/>
                  </a:prstGeom>
                  <a:noFill/>
                  <a:ln>
                    <a:noFill/>
                  </a:ln>
                </pic:spPr>
              </pic:pic>
            </a:graphicData>
          </a:graphic>
        </wp:anchor>
      </w:drawing>
    </w:r>
    <w:r>
      <w:rPr>
        <w:b/>
        <w:bCs/>
        <w:noProof/>
        <w:color w:val="63B345"/>
      </w:rPr>
      <w:t>Monica Gruber</w:t>
    </w:r>
  </w:p>
  <w:p w:rsidR="00F13820" w:rsidRPr="00EF00DD" w:rsidRDefault="00F13820" w:rsidP="00B67376">
    <w:pPr>
      <w:pStyle w:val="Header"/>
      <w:tabs>
        <w:tab w:val="clear" w:pos="9026"/>
        <w:tab w:val="left" w:pos="2580"/>
        <w:tab w:val="left" w:pos="2985"/>
      </w:tabs>
      <w:ind w:right="-46" w:firstLine="1440"/>
      <w:jc w:val="right"/>
      <w:rPr>
        <w:color w:val="63B345"/>
        <w:sz w:val="18"/>
        <w:szCs w:val="18"/>
      </w:rPr>
    </w:pPr>
    <w:r>
      <w:rPr>
        <w:color w:val="63B345"/>
        <w:sz w:val="18"/>
        <w:szCs w:val="18"/>
      </w:rPr>
      <w:t>monica.gruber</w:t>
    </w:r>
    <w:r w:rsidRPr="00EF00DD">
      <w:rPr>
        <w:color w:val="63B345"/>
        <w:sz w:val="18"/>
        <w:szCs w:val="18"/>
      </w:rPr>
      <w:t>@pacificbiosecurity.org</w:t>
    </w:r>
  </w:p>
  <w:p w:rsidR="00F13820" w:rsidRPr="00EF00DD" w:rsidRDefault="00F13820" w:rsidP="00B67376">
    <w:pPr>
      <w:pStyle w:val="Header"/>
      <w:tabs>
        <w:tab w:val="clear" w:pos="9026"/>
        <w:tab w:val="left" w:pos="2580"/>
        <w:tab w:val="left" w:pos="2985"/>
      </w:tabs>
      <w:ind w:right="-46"/>
      <w:jc w:val="right"/>
      <w:rPr>
        <w:color w:val="63B345"/>
        <w:sz w:val="18"/>
        <w:szCs w:val="18"/>
      </w:rPr>
    </w:pPr>
    <w:r w:rsidRPr="00EF00DD">
      <w:rPr>
        <w:color w:val="63B345"/>
        <w:sz w:val="18"/>
        <w:szCs w:val="18"/>
      </w:rPr>
      <w:t>Pacif</w:t>
    </w:r>
    <w:r w:rsidRPr="00EF00DD">
      <w:rPr>
        <w:color w:val="63B345"/>
        <w:sz w:val="18"/>
        <w:szCs w:val="18"/>
      </w:rPr>
      <w:softHyphen/>
      <w:t>ic Biosecurity, PO Box 1762,</w:t>
    </w:r>
  </w:p>
  <w:p w:rsidR="00F13820" w:rsidRPr="00EF00DD" w:rsidRDefault="00F13820" w:rsidP="00B67376">
    <w:pPr>
      <w:pStyle w:val="Header"/>
      <w:tabs>
        <w:tab w:val="left" w:pos="2580"/>
        <w:tab w:val="left" w:pos="2985"/>
      </w:tabs>
      <w:ind w:right="-46"/>
      <w:jc w:val="right"/>
      <w:rPr>
        <w:color w:val="63B345"/>
        <w:sz w:val="18"/>
        <w:szCs w:val="18"/>
      </w:rPr>
    </w:pPr>
    <w:r w:rsidRPr="00EF00DD">
      <w:rPr>
        <w:color w:val="63B345"/>
        <w:sz w:val="18"/>
        <w:szCs w:val="18"/>
      </w:rPr>
      <w:t>Wellington 6012, New Zealand</w:t>
    </w:r>
  </w:p>
  <w:p w:rsidR="00F13820" w:rsidRPr="00EF00DD" w:rsidRDefault="00F13820" w:rsidP="00B67376">
    <w:pPr>
      <w:pStyle w:val="Header"/>
      <w:tabs>
        <w:tab w:val="left" w:pos="2580"/>
        <w:tab w:val="left" w:pos="2985"/>
      </w:tabs>
      <w:ind w:right="-46"/>
      <w:jc w:val="right"/>
      <w:rPr>
        <w:color w:val="63B345"/>
        <w:sz w:val="18"/>
        <w:szCs w:val="18"/>
      </w:rPr>
    </w:pPr>
    <w:r w:rsidRPr="00EF00DD">
      <w:rPr>
        <w:color w:val="63B345"/>
        <w:sz w:val="18"/>
        <w:szCs w:val="18"/>
      </w:rPr>
      <w:t>Phone: +64 04 463 5096</w:t>
    </w:r>
  </w:p>
  <w:p w:rsidR="00F13820" w:rsidRDefault="00F13820" w:rsidP="00B67376">
    <w:pPr>
      <w:pStyle w:val="Header"/>
    </w:pPr>
  </w:p>
  <w:p w:rsidR="00F13820" w:rsidRDefault="00F13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78BA"/>
    <w:multiLevelType w:val="hybridMultilevel"/>
    <w:tmpl w:val="7D5229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C8"/>
    <w:rsid w:val="00007483"/>
    <w:rsid w:val="000F683B"/>
    <w:rsid w:val="001C054E"/>
    <w:rsid w:val="001C25B8"/>
    <w:rsid w:val="001E3137"/>
    <w:rsid w:val="00200C08"/>
    <w:rsid w:val="002A549F"/>
    <w:rsid w:val="002D3059"/>
    <w:rsid w:val="00400BEB"/>
    <w:rsid w:val="00415BFA"/>
    <w:rsid w:val="00434DD4"/>
    <w:rsid w:val="00435B6D"/>
    <w:rsid w:val="0047128F"/>
    <w:rsid w:val="004B1B2C"/>
    <w:rsid w:val="004F1EA2"/>
    <w:rsid w:val="00503915"/>
    <w:rsid w:val="00510F51"/>
    <w:rsid w:val="00625832"/>
    <w:rsid w:val="0064312C"/>
    <w:rsid w:val="006E091A"/>
    <w:rsid w:val="007C4F1E"/>
    <w:rsid w:val="008E2632"/>
    <w:rsid w:val="009522E0"/>
    <w:rsid w:val="00964F1C"/>
    <w:rsid w:val="00A363FF"/>
    <w:rsid w:val="00A86191"/>
    <w:rsid w:val="00AD3055"/>
    <w:rsid w:val="00AD7DB2"/>
    <w:rsid w:val="00B67376"/>
    <w:rsid w:val="00B87259"/>
    <w:rsid w:val="00C40607"/>
    <w:rsid w:val="00C6413A"/>
    <w:rsid w:val="00C92F47"/>
    <w:rsid w:val="00D43906"/>
    <w:rsid w:val="00D627C8"/>
    <w:rsid w:val="00D80FFB"/>
    <w:rsid w:val="00DA02E8"/>
    <w:rsid w:val="00E672C1"/>
    <w:rsid w:val="00EC7245"/>
    <w:rsid w:val="00EF00DD"/>
    <w:rsid w:val="00F13820"/>
    <w:rsid w:val="00F46591"/>
    <w:rsid w:val="00F559D4"/>
    <w:rsid w:val="00FE07E5"/>
    <w:rsid w:val="00FF3E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FB"/>
    <w:pPr>
      <w:spacing w:after="120" w:line="240" w:lineRule="atLeast"/>
      <w:jc w:val="both"/>
    </w:pPr>
    <w:rPr>
      <w:rFonts w:ascii="Verdana" w:hAnsi="Verdana"/>
      <w:sz w:val="20"/>
    </w:rPr>
  </w:style>
  <w:style w:type="paragraph" w:styleId="Heading1">
    <w:name w:val="heading 1"/>
    <w:basedOn w:val="Normal"/>
    <w:next w:val="Normal"/>
    <w:link w:val="Heading1Char"/>
    <w:uiPriority w:val="9"/>
    <w:qFormat/>
    <w:rsid w:val="00E672C1"/>
    <w:pPr>
      <w:keepNext/>
      <w:keepLines/>
      <w:spacing w:before="480" w:after="0"/>
      <w:outlineLvl w:val="0"/>
    </w:pPr>
    <w:rPr>
      <w:rFonts w:ascii="Helvetica" w:eastAsiaTheme="majorEastAsia" w:hAnsi="Helvetica" w:cstheme="majorBidi"/>
      <w:b/>
      <w:bCs/>
      <w:color w:val="63B345"/>
      <w:sz w:val="28"/>
      <w:szCs w:val="28"/>
    </w:rPr>
  </w:style>
  <w:style w:type="paragraph" w:styleId="Heading2">
    <w:name w:val="heading 2"/>
    <w:basedOn w:val="Normal"/>
    <w:next w:val="Normal"/>
    <w:link w:val="Heading2Char"/>
    <w:uiPriority w:val="9"/>
    <w:unhideWhenUsed/>
    <w:qFormat/>
    <w:rsid w:val="00E672C1"/>
    <w:pPr>
      <w:keepNext/>
      <w:keepLines/>
      <w:spacing w:before="200" w:after="0"/>
      <w:outlineLvl w:val="1"/>
    </w:pPr>
    <w:rPr>
      <w:rFonts w:ascii="Helvetica" w:eastAsiaTheme="majorEastAsia" w:hAnsi="Helvetica" w:cstheme="majorBidi"/>
      <w:b/>
      <w:bCs/>
      <w:color w:val="63B345"/>
      <w:sz w:val="26"/>
      <w:szCs w:val="26"/>
    </w:rPr>
  </w:style>
  <w:style w:type="paragraph" w:styleId="Heading3">
    <w:name w:val="heading 3"/>
    <w:basedOn w:val="Normal"/>
    <w:next w:val="Normal"/>
    <w:link w:val="Heading3Char"/>
    <w:uiPriority w:val="9"/>
    <w:semiHidden/>
    <w:unhideWhenUsed/>
    <w:qFormat/>
    <w:rsid w:val="00964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591"/>
  </w:style>
  <w:style w:type="paragraph" w:styleId="Footer">
    <w:name w:val="footer"/>
    <w:basedOn w:val="Normal"/>
    <w:link w:val="FooterChar"/>
    <w:uiPriority w:val="99"/>
    <w:unhideWhenUsed/>
    <w:rsid w:val="00F4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591"/>
  </w:style>
  <w:style w:type="paragraph" w:styleId="BalloonText">
    <w:name w:val="Balloon Text"/>
    <w:basedOn w:val="Normal"/>
    <w:link w:val="BalloonTextChar"/>
    <w:uiPriority w:val="99"/>
    <w:semiHidden/>
    <w:unhideWhenUsed/>
    <w:rsid w:val="00F46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91"/>
    <w:rPr>
      <w:rFonts w:ascii="Tahoma" w:hAnsi="Tahoma" w:cs="Tahoma"/>
      <w:sz w:val="16"/>
      <w:szCs w:val="16"/>
    </w:rPr>
  </w:style>
  <w:style w:type="character" w:customStyle="1" w:styleId="Heading1Char">
    <w:name w:val="Heading 1 Char"/>
    <w:basedOn w:val="DefaultParagraphFont"/>
    <w:link w:val="Heading1"/>
    <w:uiPriority w:val="9"/>
    <w:rsid w:val="00E672C1"/>
    <w:rPr>
      <w:rFonts w:ascii="Helvetica" w:eastAsiaTheme="majorEastAsia" w:hAnsi="Helvetica" w:cstheme="majorBidi"/>
      <w:b/>
      <w:bCs/>
      <w:color w:val="63B345"/>
      <w:sz w:val="28"/>
      <w:szCs w:val="28"/>
    </w:rPr>
  </w:style>
  <w:style w:type="character" w:customStyle="1" w:styleId="Heading2Char">
    <w:name w:val="Heading 2 Char"/>
    <w:basedOn w:val="DefaultParagraphFont"/>
    <w:link w:val="Heading2"/>
    <w:uiPriority w:val="9"/>
    <w:rsid w:val="00E672C1"/>
    <w:rPr>
      <w:rFonts w:ascii="Helvetica" w:eastAsiaTheme="majorEastAsia" w:hAnsi="Helvetica" w:cstheme="majorBidi"/>
      <w:b/>
      <w:bCs/>
      <w:color w:val="63B345"/>
      <w:sz w:val="26"/>
      <w:szCs w:val="26"/>
    </w:rPr>
  </w:style>
  <w:style w:type="paragraph" w:styleId="Title">
    <w:name w:val="Title"/>
    <w:basedOn w:val="Normal"/>
    <w:next w:val="Normal"/>
    <w:link w:val="TitleChar"/>
    <w:uiPriority w:val="10"/>
    <w:qFormat/>
    <w:rsid w:val="00E672C1"/>
    <w:pPr>
      <w:pBdr>
        <w:bottom w:val="single" w:sz="8" w:space="4" w:color="4F81BD" w:themeColor="accent1"/>
      </w:pBdr>
      <w:spacing w:after="300" w:line="240" w:lineRule="auto"/>
      <w:contextualSpacing/>
    </w:pPr>
    <w:rPr>
      <w:rFonts w:ascii="Helvetica" w:eastAsiaTheme="majorEastAsia" w:hAnsi="Helvetica" w:cstheme="majorBidi"/>
      <w:color w:val="63B345"/>
      <w:spacing w:val="5"/>
      <w:kern w:val="28"/>
      <w:sz w:val="52"/>
      <w:szCs w:val="52"/>
    </w:rPr>
  </w:style>
  <w:style w:type="character" w:customStyle="1" w:styleId="TitleChar">
    <w:name w:val="Title Char"/>
    <w:basedOn w:val="DefaultParagraphFont"/>
    <w:link w:val="Title"/>
    <w:uiPriority w:val="10"/>
    <w:rsid w:val="00E672C1"/>
    <w:rPr>
      <w:rFonts w:ascii="Helvetica" w:eastAsiaTheme="majorEastAsia" w:hAnsi="Helvetica" w:cstheme="majorBidi"/>
      <w:color w:val="63B345"/>
      <w:spacing w:val="5"/>
      <w:kern w:val="28"/>
      <w:sz w:val="52"/>
      <w:szCs w:val="52"/>
    </w:rPr>
  </w:style>
  <w:style w:type="paragraph" w:styleId="ListParagraph">
    <w:name w:val="List Paragraph"/>
    <w:basedOn w:val="Normal"/>
    <w:uiPriority w:val="34"/>
    <w:qFormat/>
    <w:rsid w:val="00E672C1"/>
    <w:pPr>
      <w:ind w:left="720"/>
      <w:contextualSpacing/>
    </w:pPr>
  </w:style>
  <w:style w:type="paragraph" w:styleId="NoSpacing">
    <w:name w:val="No Spacing"/>
    <w:link w:val="NoSpacingChar"/>
    <w:uiPriority w:val="1"/>
    <w:qFormat/>
    <w:rsid w:val="00E672C1"/>
    <w:pPr>
      <w:spacing w:after="0" w:line="240" w:lineRule="auto"/>
    </w:pPr>
    <w:rPr>
      <w:rFonts w:ascii="Verdana" w:hAnsi="Verdana"/>
    </w:rPr>
  </w:style>
  <w:style w:type="character" w:customStyle="1" w:styleId="NoSpacingChar">
    <w:name w:val="No Spacing Char"/>
    <w:basedOn w:val="DefaultParagraphFont"/>
    <w:link w:val="NoSpacing"/>
    <w:uiPriority w:val="1"/>
    <w:rsid w:val="00E672C1"/>
    <w:rPr>
      <w:rFonts w:ascii="Verdana" w:hAnsi="Verdana"/>
    </w:rPr>
  </w:style>
  <w:style w:type="character" w:styleId="Hyperlink">
    <w:name w:val="Hyperlink"/>
    <w:basedOn w:val="DefaultParagraphFont"/>
    <w:uiPriority w:val="99"/>
    <w:unhideWhenUsed/>
    <w:rsid w:val="002D3059"/>
    <w:rPr>
      <w:color w:val="0000FF" w:themeColor="hyperlink"/>
      <w:u w:val="single"/>
    </w:rPr>
  </w:style>
  <w:style w:type="character" w:customStyle="1" w:styleId="Heading3Char">
    <w:name w:val="Heading 3 Char"/>
    <w:basedOn w:val="DefaultParagraphFont"/>
    <w:link w:val="Heading3"/>
    <w:uiPriority w:val="9"/>
    <w:semiHidden/>
    <w:rsid w:val="00964F1C"/>
    <w:rPr>
      <w:rFonts w:asciiTheme="majorHAnsi" w:eastAsiaTheme="majorEastAsia" w:hAnsiTheme="majorHAnsi" w:cstheme="majorBidi"/>
      <w:b/>
      <w:bCs/>
      <w:color w:val="4F81BD" w:themeColor="accent1"/>
    </w:rPr>
  </w:style>
  <w:style w:type="table" w:styleId="TableGrid">
    <w:name w:val="Table Grid"/>
    <w:basedOn w:val="TableNormal"/>
    <w:uiPriority w:val="59"/>
    <w:rsid w:val="00964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FFB"/>
    <w:pPr>
      <w:spacing w:after="120" w:line="240" w:lineRule="atLeast"/>
      <w:jc w:val="both"/>
    </w:pPr>
    <w:rPr>
      <w:rFonts w:ascii="Verdana" w:hAnsi="Verdana"/>
      <w:sz w:val="20"/>
    </w:rPr>
  </w:style>
  <w:style w:type="paragraph" w:styleId="Heading1">
    <w:name w:val="heading 1"/>
    <w:basedOn w:val="Normal"/>
    <w:next w:val="Normal"/>
    <w:link w:val="Heading1Char"/>
    <w:uiPriority w:val="9"/>
    <w:qFormat/>
    <w:rsid w:val="00E672C1"/>
    <w:pPr>
      <w:keepNext/>
      <w:keepLines/>
      <w:spacing w:before="480" w:after="0"/>
      <w:outlineLvl w:val="0"/>
    </w:pPr>
    <w:rPr>
      <w:rFonts w:ascii="Helvetica" w:eastAsiaTheme="majorEastAsia" w:hAnsi="Helvetica" w:cstheme="majorBidi"/>
      <w:b/>
      <w:bCs/>
      <w:color w:val="63B345"/>
      <w:sz w:val="28"/>
      <w:szCs w:val="28"/>
    </w:rPr>
  </w:style>
  <w:style w:type="paragraph" w:styleId="Heading2">
    <w:name w:val="heading 2"/>
    <w:basedOn w:val="Normal"/>
    <w:next w:val="Normal"/>
    <w:link w:val="Heading2Char"/>
    <w:uiPriority w:val="9"/>
    <w:unhideWhenUsed/>
    <w:qFormat/>
    <w:rsid w:val="00E672C1"/>
    <w:pPr>
      <w:keepNext/>
      <w:keepLines/>
      <w:spacing w:before="200" w:after="0"/>
      <w:outlineLvl w:val="1"/>
    </w:pPr>
    <w:rPr>
      <w:rFonts w:ascii="Helvetica" w:eastAsiaTheme="majorEastAsia" w:hAnsi="Helvetica" w:cstheme="majorBidi"/>
      <w:b/>
      <w:bCs/>
      <w:color w:val="63B345"/>
      <w:sz w:val="26"/>
      <w:szCs w:val="26"/>
    </w:rPr>
  </w:style>
  <w:style w:type="paragraph" w:styleId="Heading3">
    <w:name w:val="heading 3"/>
    <w:basedOn w:val="Normal"/>
    <w:next w:val="Normal"/>
    <w:link w:val="Heading3Char"/>
    <w:uiPriority w:val="9"/>
    <w:semiHidden/>
    <w:unhideWhenUsed/>
    <w:qFormat/>
    <w:rsid w:val="00964F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591"/>
  </w:style>
  <w:style w:type="paragraph" w:styleId="Footer">
    <w:name w:val="footer"/>
    <w:basedOn w:val="Normal"/>
    <w:link w:val="FooterChar"/>
    <w:uiPriority w:val="99"/>
    <w:unhideWhenUsed/>
    <w:rsid w:val="00F46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591"/>
  </w:style>
  <w:style w:type="paragraph" w:styleId="BalloonText">
    <w:name w:val="Balloon Text"/>
    <w:basedOn w:val="Normal"/>
    <w:link w:val="BalloonTextChar"/>
    <w:uiPriority w:val="99"/>
    <w:semiHidden/>
    <w:unhideWhenUsed/>
    <w:rsid w:val="00F46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91"/>
    <w:rPr>
      <w:rFonts w:ascii="Tahoma" w:hAnsi="Tahoma" w:cs="Tahoma"/>
      <w:sz w:val="16"/>
      <w:szCs w:val="16"/>
    </w:rPr>
  </w:style>
  <w:style w:type="character" w:customStyle="1" w:styleId="Heading1Char">
    <w:name w:val="Heading 1 Char"/>
    <w:basedOn w:val="DefaultParagraphFont"/>
    <w:link w:val="Heading1"/>
    <w:uiPriority w:val="9"/>
    <w:rsid w:val="00E672C1"/>
    <w:rPr>
      <w:rFonts w:ascii="Helvetica" w:eastAsiaTheme="majorEastAsia" w:hAnsi="Helvetica" w:cstheme="majorBidi"/>
      <w:b/>
      <w:bCs/>
      <w:color w:val="63B345"/>
      <w:sz w:val="28"/>
      <w:szCs w:val="28"/>
    </w:rPr>
  </w:style>
  <w:style w:type="character" w:customStyle="1" w:styleId="Heading2Char">
    <w:name w:val="Heading 2 Char"/>
    <w:basedOn w:val="DefaultParagraphFont"/>
    <w:link w:val="Heading2"/>
    <w:uiPriority w:val="9"/>
    <w:rsid w:val="00E672C1"/>
    <w:rPr>
      <w:rFonts w:ascii="Helvetica" w:eastAsiaTheme="majorEastAsia" w:hAnsi="Helvetica" w:cstheme="majorBidi"/>
      <w:b/>
      <w:bCs/>
      <w:color w:val="63B345"/>
      <w:sz w:val="26"/>
      <w:szCs w:val="26"/>
    </w:rPr>
  </w:style>
  <w:style w:type="paragraph" w:styleId="Title">
    <w:name w:val="Title"/>
    <w:basedOn w:val="Normal"/>
    <w:next w:val="Normal"/>
    <w:link w:val="TitleChar"/>
    <w:uiPriority w:val="10"/>
    <w:qFormat/>
    <w:rsid w:val="00E672C1"/>
    <w:pPr>
      <w:pBdr>
        <w:bottom w:val="single" w:sz="8" w:space="4" w:color="4F81BD" w:themeColor="accent1"/>
      </w:pBdr>
      <w:spacing w:after="300" w:line="240" w:lineRule="auto"/>
      <w:contextualSpacing/>
    </w:pPr>
    <w:rPr>
      <w:rFonts w:ascii="Helvetica" w:eastAsiaTheme="majorEastAsia" w:hAnsi="Helvetica" w:cstheme="majorBidi"/>
      <w:color w:val="63B345"/>
      <w:spacing w:val="5"/>
      <w:kern w:val="28"/>
      <w:sz w:val="52"/>
      <w:szCs w:val="52"/>
    </w:rPr>
  </w:style>
  <w:style w:type="character" w:customStyle="1" w:styleId="TitleChar">
    <w:name w:val="Title Char"/>
    <w:basedOn w:val="DefaultParagraphFont"/>
    <w:link w:val="Title"/>
    <w:uiPriority w:val="10"/>
    <w:rsid w:val="00E672C1"/>
    <w:rPr>
      <w:rFonts w:ascii="Helvetica" w:eastAsiaTheme="majorEastAsia" w:hAnsi="Helvetica" w:cstheme="majorBidi"/>
      <w:color w:val="63B345"/>
      <w:spacing w:val="5"/>
      <w:kern w:val="28"/>
      <w:sz w:val="52"/>
      <w:szCs w:val="52"/>
    </w:rPr>
  </w:style>
  <w:style w:type="paragraph" w:styleId="ListParagraph">
    <w:name w:val="List Paragraph"/>
    <w:basedOn w:val="Normal"/>
    <w:uiPriority w:val="34"/>
    <w:qFormat/>
    <w:rsid w:val="00E672C1"/>
    <w:pPr>
      <w:ind w:left="720"/>
      <w:contextualSpacing/>
    </w:pPr>
  </w:style>
  <w:style w:type="paragraph" w:styleId="NoSpacing">
    <w:name w:val="No Spacing"/>
    <w:link w:val="NoSpacingChar"/>
    <w:uiPriority w:val="1"/>
    <w:qFormat/>
    <w:rsid w:val="00E672C1"/>
    <w:pPr>
      <w:spacing w:after="0" w:line="240" w:lineRule="auto"/>
    </w:pPr>
    <w:rPr>
      <w:rFonts w:ascii="Verdana" w:hAnsi="Verdana"/>
    </w:rPr>
  </w:style>
  <w:style w:type="character" w:customStyle="1" w:styleId="NoSpacingChar">
    <w:name w:val="No Spacing Char"/>
    <w:basedOn w:val="DefaultParagraphFont"/>
    <w:link w:val="NoSpacing"/>
    <w:uiPriority w:val="1"/>
    <w:rsid w:val="00E672C1"/>
    <w:rPr>
      <w:rFonts w:ascii="Verdana" w:hAnsi="Verdana"/>
    </w:rPr>
  </w:style>
  <w:style w:type="character" w:styleId="Hyperlink">
    <w:name w:val="Hyperlink"/>
    <w:basedOn w:val="DefaultParagraphFont"/>
    <w:uiPriority w:val="99"/>
    <w:unhideWhenUsed/>
    <w:rsid w:val="002D3059"/>
    <w:rPr>
      <w:color w:val="0000FF" w:themeColor="hyperlink"/>
      <w:u w:val="single"/>
    </w:rPr>
  </w:style>
  <w:style w:type="character" w:customStyle="1" w:styleId="Heading3Char">
    <w:name w:val="Heading 3 Char"/>
    <w:basedOn w:val="DefaultParagraphFont"/>
    <w:link w:val="Heading3"/>
    <w:uiPriority w:val="9"/>
    <w:semiHidden/>
    <w:rsid w:val="00964F1C"/>
    <w:rPr>
      <w:rFonts w:asciiTheme="majorHAnsi" w:eastAsiaTheme="majorEastAsia" w:hAnsiTheme="majorHAnsi" w:cstheme="majorBidi"/>
      <w:b/>
      <w:bCs/>
      <w:color w:val="4F81BD" w:themeColor="accent1"/>
    </w:rPr>
  </w:style>
  <w:style w:type="table" w:styleId="TableGrid">
    <w:name w:val="Table Grid"/>
    <w:basedOn w:val="TableNormal"/>
    <w:uiPriority w:val="59"/>
    <w:rsid w:val="00964F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4894">
      <w:bodyDiv w:val="1"/>
      <w:marLeft w:val="0"/>
      <w:marRight w:val="0"/>
      <w:marTop w:val="0"/>
      <w:marBottom w:val="0"/>
      <w:divBdr>
        <w:top w:val="none" w:sz="0" w:space="0" w:color="auto"/>
        <w:left w:val="none" w:sz="0" w:space="0" w:color="auto"/>
        <w:bottom w:val="none" w:sz="0" w:space="0" w:color="auto"/>
        <w:right w:val="none" w:sz="0" w:space="0" w:color="auto"/>
      </w:divBdr>
    </w:div>
    <w:div w:id="1317150558">
      <w:bodyDiv w:val="1"/>
      <w:marLeft w:val="0"/>
      <w:marRight w:val="0"/>
      <w:marTop w:val="0"/>
      <w:marBottom w:val="0"/>
      <w:divBdr>
        <w:top w:val="none" w:sz="0" w:space="0" w:color="auto"/>
        <w:left w:val="none" w:sz="0" w:space="0" w:color="auto"/>
        <w:bottom w:val="none" w:sz="0" w:space="0" w:color="auto"/>
        <w:right w:val="none" w:sz="0" w:space="0" w:color="auto"/>
      </w:divBdr>
    </w:div>
    <w:div w:id="13881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thegef.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europa.eu/index_en.htm" TargetMode="External"/><Relationship Id="rId2" Type="http://schemas.openxmlformats.org/officeDocument/2006/relationships/numbering" Target="numbering.xml"/><Relationship Id="rId16" Type="http://schemas.openxmlformats.org/officeDocument/2006/relationships/hyperlink" Target="http://www.conservation.org/" TargetMode="External"/><Relationship Id="rId20" Type="http://schemas.openxmlformats.org/officeDocument/2006/relationships/hyperlink" Target="http://www.worldban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fd.fr/" TargetMode="External"/><Relationship Id="rId10" Type="http://schemas.openxmlformats.org/officeDocument/2006/relationships/footer" Target="footer1.xml"/><Relationship Id="rId19" Type="http://schemas.openxmlformats.org/officeDocument/2006/relationships/hyperlink" Target="http://www.macfound.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E84F4-1B10-4519-90FF-2964A78D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Monica Gruber</cp:lastModifiedBy>
  <cp:revision>4</cp:revision>
  <dcterms:created xsi:type="dcterms:W3CDTF">2013-11-07T21:23:00Z</dcterms:created>
  <dcterms:modified xsi:type="dcterms:W3CDTF">2014-05-18T22:13:00Z</dcterms:modified>
</cp:coreProperties>
</file>